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D270" w14:textId="77777777" w:rsidR="00C76CAB" w:rsidRPr="00322DCF" w:rsidRDefault="00C76CAB" w:rsidP="00C76CAB">
      <w:pPr>
        <w:pStyle w:val="BodyText"/>
        <w:spacing w:before="1"/>
        <w:jc w:val="center"/>
        <w:rPr>
          <w:rFonts w:ascii="Times New Roman" w:hAnsi="Times New Roman" w:cs="Times New Roman"/>
          <w:b/>
          <w:bCs/>
          <w:sz w:val="28"/>
          <w:szCs w:val="28"/>
        </w:rPr>
      </w:pPr>
      <w:r w:rsidRPr="00322DCF">
        <w:rPr>
          <w:rFonts w:ascii="Times New Roman" w:hAnsi="Times New Roman" w:cs="Times New Roman"/>
          <w:b/>
          <w:bCs/>
          <w:sz w:val="28"/>
          <w:szCs w:val="28"/>
        </w:rPr>
        <w:t>MUTHOOT MICROFIN LIMITED</w:t>
      </w:r>
    </w:p>
    <w:p w14:paraId="464F01E2" w14:textId="77777777" w:rsidR="00C76CAB" w:rsidRPr="00322DCF" w:rsidRDefault="00C76CAB" w:rsidP="00C76CAB">
      <w:pPr>
        <w:pStyle w:val="BodyText"/>
        <w:spacing w:before="1"/>
        <w:jc w:val="both"/>
        <w:rPr>
          <w:rFonts w:ascii="Times New Roman" w:hAnsi="Times New Roman" w:cs="Times New Roman"/>
          <w:b/>
          <w:bCs/>
          <w:sz w:val="24"/>
          <w:szCs w:val="24"/>
        </w:rPr>
      </w:pPr>
    </w:p>
    <w:p w14:paraId="600803DB" w14:textId="1CDCF607" w:rsidR="00C76CAB" w:rsidRPr="00C76CAB" w:rsidRDefault="00C76CAB" w:rsidP="00C76CAB">
      <w:pPr>
        <w:pStyle w:val="BodyText"/>
        <w:spacing w:before="1"/>
        <w:jc w:val="both"/>
        <w:rPr>
          <w:rFonts w:ascii="Times New Roman" w:hAnsi="Times New Roman" w:cs="Times New Roman"/>
          <w:b/>
          <w:bCs/>
          <w:sz w:val="24"/>
          <w:szCs w:val="24"/>
        </w:rPr>
      </w:pPr>
      <w:r w:rsidRPr="00C76CAB">
        <w:rPr>
          <w:rFonts w:ascii="Times New Roman" w:hAnsi="Times New Roman" w:cs="Times New Roman"/>
          <w:b/>
          <w:bCs/>
          <w:sz w:val="24"/>
          <w:szCs w:val="24"/>
        </w:rPr>
        <w:t>Public disclosure on Liquidity Risk as o</w:t>
      </w:r>
      <w:r w:rsidR="004176EC">
        <w:rPr>
          <w:rFonts w:ascii="Times New Roman" w:hAnsi="Times New Roman" w:cs="Times New Roman"/>
          <w:b/>
          <w:bCs/>
          <w:sz w:val="24"/>
          <w:szCs w:val="24"/>
        </w:rPr>
        <w:t>n</w:t>
      </w:r>
      <w:r w:rsidR="00E767EA">
        <w:rPr>
          <w:rFonts w:ascii="Times New Roman" w:hAnsi="Times New Roman" w:cs="Times New Roman"/>
          <w:b/>
          <w:bCs/>
          <w:sz w:val="24"/>
          <w:szCs w:val="24"/>
        </w:rPr>
        <w:t xml:space="preserve"> </w:t>
      </w:r>
      <w:r w:rsidR="00712712">
        <w:rPr>
          <w:rFonts w:ascii="Times New Roman" w:hAnsi="Times New Roman" w:cs="Times New Roman"/>
          <w:b/>
          <w:bCs/>
          <w:sz w:val="24"/>
          <w:szCs w:val="24"/>
        </w:rPr>
        <w:t>December</w:t>
      </w:r>
      <w:r w:rsidR="00DD3EA4">
        <w:rPr>
          <w:rFonts w:ascii="Times New Roman" w:hAnsi="Times New Roman" w:cs="Times New Roman"/>
          <w:b/>
          <w:bCs/>
          <w:sz w:val="24"/>
          <w:szCs w:val="24"/>
        </w:rPr>
        <w:t xml:space="preserve"> 3</w:t>
      </w:r>
      <w:r w:rsidR="00712712">
        <w:rPr>
          <w:rFonts w:ascii="Times New Roman" w:hAnsi="Times New Roman" w:cs="Times New Roman"/>
          <w:b/>
          <w:bCs/>
          <w:sz w:val="24"/>
          <w:szCs w:val="24"/>
        </w:rPr>
        <w:t>1</w:t>
      </w:r>
      <w:r w:rsidRPr="00C76CAB">
        <w:rPr>
          <w:rFonts w:ascii="Times New Roman" w:hAnsi="Times New Roman" w:cs="Times New Roman"/>
          <w:b/>
          <w:bCs/>
          <w:sz w:val="24"/>
          <w:szCs w:val="24"/>
        </w:rPr>
        <w:t xml:space="preserve">, </w:t>
      </w:r>
      <w:proofErr w:type="gramStart"/>
      <w:r w:rsidRPr="00C76CAB">
        <w:rPr>
          <w:rFonts w:ascii="Times New Roman" w:hAnsi="Times New Roman" w:cs="Times New Roman"/>
          <w:b/>
          <w:bCs/>
          <w:sz w:val="24"/>
          <w:szCs w:val="24"/>
        </w:rPr>
        <w:t>202</w:t>
      </w:r>
      <w:r w:rsidR="00F219FE">
        <w:rPr>
          <w:rFonts w:ascii="Times New Roman" w:hAnsi="Times New Roman" w:cs="Times New Roman"/>
          <w:b/>
          <w:bCs/>
          <w:sz w:val="24"/>
          <w:szCs w:val="24"/>
        </w:rPr>
        <w:t>4</w:t>
      </w:r>
      <w:proofErr w:type="gramEnd"/>
      <w:r w:rsidRPr="00C76CAB">
        <w:rPr>
          <w:rFonts w:ascii="Times New Roman" w:hAnsi="Times New Roman" w:cs="Times New Roman"/>
          <w:b/>
          <w:bCs/>
          <w:sz w:val="24"/>
          <w:szCs w:val="24"/>
        </w:rPr>
        <w:t xml:space="preserve"> pursuant to RBI notification RBI/2019-20/88 DOR.NBFC (PD) CC. No.102/03.10.001/2019-20 dated November 04, 2019 on Liquidity Risk Management Framework for Non-Banking Financial Companies and Core Investment Companies</w:t>
      </w:r>
      <w:r w:rsidR="008B314A">
        <w:rPr>
          <w:rFonts w:ascii="Times New Roman" w:hAnsi="Times New Roman" w:cs="Times New Roman"/>
          <w:b/>
          <w:bCs/>
          <w:sz w:val="24"/>
          <w:szCs w:val="24"/>
        </w:rPr>
        <w:tab/>
      </w:r>
    </w:p>
    <w:p w14:paraId="51BB9C06" w14:textId="77777777" w:rsidR="00C76CAB" w:rsidRPr="00C76CAB" w:rsidRDefault="00C76CAB">
      <w:pPr>
        <w:pStyle w:val="BodyText"/>
        <w:spacing w:before="1"/>
        <w:rPr>
          <w:rFonts w:ascii="Times New Roman" w:hAnsi="Times New Roman" w:cs="Times New Roman"/>
          <w:b/>
          <w:sz w:val="24"/>
          <w:szCs w:val="24"/>
        </w:rPr>
      </w:pPr>
    </w:p>
    <w:p w14:paraId="38389E57" w14:textId="77777777" w:rsidR="00596804" w:rsidRPr="00C76CAB" w:rsidRDefault="00022433">
      <w:pPr>
        <w:pStyle w:val="ListParagraph"/>
        <w:numPr>
          <w:ilvl w:val="0"/>
          <w:numId w:val="1"/>
        </w:numPr>
        <w:tabs>
          <w:tab w:val="left" w:pos="1179"/>
          <w:tab w:val="left" w:pos="1181"/>
        </w:tabs>
        <w:spacing w:before="93" w:line="276" w:lineRule="auto"/>
        <w:ind w:right="120"/>
        <w:rPr>
          <w:rFonts w:ascii="Times New Roman" w:hAnsi="Times New Roman" w:cs="Times New Roman"/>
          <w:sz w:val="24"/>
          <w:szCs w:val="24"/>
        </w:rPr>
      </w:pPr>
      <w:r w:rsidRPr="00C76CAB">
        <w:rPr>
          <w:rFonts w:ascii="Times New Roman" w:hAnsi="Times New Roman" w:cs="Times New Roman"/>
          <w:sz w:val="24"/>
          <w:szCs w:val="24"/>
        </w:rPr>
        <w:t>Funding Concentration based on significant counterparty (both deposits and borrowings)</w:t>
      </w:r>
    </w:p>
    <w:p w14:paraId="6F1F3B5B" w14:textId="77777777" w:rsidR="00596804" w:rsidRPr="00C76CAB" w:rsidRDefault="00596804">
      <w:pPr>
        <w:pStyle w:val="BodyText"/>
        <w:spacing w:before="3"/>
        <w:rPr>
          <w:rFonts w:ascii="Times New Roman" w:hAnsi="Times New Roman" w:cs="Times New Roman"/>
          <w:sz w:val="24"/>
          <w:szCs w:val="24"/>
        </w:rPr>
      </w:pPr>
    </w:p>
    <w:tbl>
      <w:tblPr>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794"/>
        <w:gridCol w:w="1775"/>
        <w:gridCol w:w="1775"/>
        <w:gridCol w:w="1776"/>
      </w:tblGrid>
      <w:tr w:rsidR="00596804" w:rsidRPr="00C76CAB" w14:paraId="0B74EA1B" w14:textId="77777777">
        <w:trPr>
          <w:trHeight w:val="1113"/>
        </w:trPr>
        <w:tc>
          <w:tcPr>
            <w:tcW w:w="571" w:type="dxa"/>
          </w:tcPr>
          <w:p w14:paraId="1C350467" w14:textId="77777777" w:rsidR="00596804" w:rsidRPr="00C76CAB" w:rsidRDefault="00022433">
            <w:pPr>
              <w:pStyle w:val="TableParagraph"/>
              <w:spacing w:before="119"/>
              <w:ind w:left="106"/>
              <w:rPr>
                <w:rFonts w:ascii="Times New Roman" w:hAnsi="Times New Roman" w:cs="Times New Roman"/>
                <w:b/>
                <w:sz w:val="24"/>
                <w:szCs w:val="24"/>
              </w:rPr>
            </w:pPr>
            <w:r w:rsidRPr="00C76CAB">
              <w:rPr>
                <w:rFonts w:ascii="Times New Roman" w:hAnsi="Times New Roman" w:cs="Times New Roman"/>
                <w:b/>
                <w:sz w:val="24"/>
                <w:szCs w:val="24"/>
              </w:rPr>
              <w:t>Sr.</w:t>
            </w:r>
          </w:p>
          <w:p w14:paraId="38F69E16" w14:textId="77777777" w:rsidR="00596804" w:rsidRPr="00C76CAB" w:rsidRDefault="00022433">
            <w:pPr>
              <w:pStyle w:val="TableParagraph"/>
              <w:spacing w:before="37"/>
              <w:ind w:left="106"/>
              <w:rPr>
                <w:rFonts w:ascii="Times New Roman" w:hAnsi="Times New Roman" w:cs="Times New Roman"/>
                <w:b/>
                <w:sz w:val="24"/>
                <w:szCs w:val="24"/>
              </w:rPr>
            </w:pPr>
            <w:r w:rsidRPr="00C76CAB">
              <w:rPr>
                <w:rFonts w:ascii="Times New Roman" w:hAnsi="Times New Roman" w:cs="Times New Roman"/>
                <w:b/>
                <w:sz w:val="24"/>
                <w:szCs w:val="24"/>
              </w:rPr>
              <w:t>No.</w:t>
            </w:r>
          </w:p>
        </w:tc>
        <w:tc>
          <w:tcPr>
            <w:tcW w:w="1794" w:type="dxa"/>
          </w:tcPr>
          <w:p w14:paraId="681B9472" w14:textId="77777777" w:rsidR="00596804" w:rsidRPr="00C76CAB" w:rsidRDefault="00022433">
            <w:pPr>
              <w:pStyle w:val="TableParagraph"/>
              <w:spacing w:before="119" w:line="276" w:lineRule="auto"/>
              <w:ind w:left="132" w:right="124"/>
              <w:jc w:val="center"/>
              <w:rPr>
                <w:rFonts w:ascii="Times New Roman" w:hAnsi="Times New Roman" w:cs="Times New Roman"/>
                <w:b/>
                <w:sz w:val="24"/>
                <w:szCs w:val="24"/>
              </w:rPr>
            </w:pPr>
            <w:r w:rsidRPr="00C76CAB">
              <w:rPr>
                <w:rFonts w:ascii="Times New Roman" w:hAnsi="Times New Roman" w:cs="Times New Roman"/>
                <w:b/>
                <w:sz w:val="24"/>
                <w:szCs w:val="24"/>
              </w:rPr>
              <w:t xml:space="preserve">Number of Significant </w:t>
            </w:r>
            <w:r w:rsidRPr="00C76CAB">
              <w:rPr>
                <w:rFonts w:ascii="Times New Roman" w:hAnsi="Times New Roman" w:cs="Times New Roman"/>
                <w:b/>
                <w:w w:val="95"/>
                <w:sz w:val="24"/>
                <w:szCs w:val="24"/>
              </w:rPr>
              <w:t>Counterparties</w:t>
            </w:r>
          </w:p>
        </w:tc>
        <w:tc>
          <w:tcPr>
            <w:tcW w:w="1775" w:type="dxa"/>
          </w:tcPr>
          <w:p w14:paraId="051ACD2F" w14:textId="77777777" w:rsidR="00596804" w:rsidRPr="00C76CAB" w:rsidRDefault="00022433">
            <w:pPr>
              <w:pStyle w:val="TableParagraph"/>
              <w:spacing w:before="119" w:line="276" w:lineRule="auto"/>
              <w:ind w:left="445" w:right="419" w:firstLine="25"/>
              <w:rPr>
                <w:rFonts w:ascii="Times New Roman" w:hAnsi="Times New Roman" w:cs="Times New Roman"/>
                <w:b/>
                <w:sz w:val="24"/>
                <w:szCs w:val="24"/>
              </w:rPr>
            </w:pPr>
            <w:r w:rsidRPr="00C76CAB">
              <w:rPr>
                <w:rFonts w:ascii="Times New Roman" w:hAnsi="Times New Roman" w:cs="Times New Roman"/>
                <w:b/>
                <w:sz w:val="24"/>
                <w:szCs w:val="24"/>
              </w:rPr>
              <w:t>Amount (₹ crore)</w:t>
            </w:r>
          </w:p>
        </w:tc>
        <w:tc>
          <w:tcPr>
            <w:tcW w:w="1775" w:type="dxa"/>
          </w:tcPr>
          <w:p w14:paraId="703E2989" w14:textId="77777777" w:rsidR="00596804" w:rsidRPr="00C76CAB" w:rsidRDefault="00022433">
            <w:pPr>
              <w:pStyle w:val="TableParagraph"/>
              <w:spacing w:before="119" w:line="276" w:lineRule="auto"/>
              <w:ind w:left="433" w:right="333" w:hanging="73"/>
              <w:rPr>
                <w:rFonts w:ascii="Times New Roman" w:hAnsi="Times New Roman" w:cs="Times New Roman"/>
                <w:b/>
                <w:sz w:val="24"/>
                <w:szCs w:val="24"/>
              </w:rPr>
            </w:pPr>
            <w:r w:rsidRPr="00C76CAB">
              <w:rPr>
                <w:rFonts w:ascii="Times New Roman" w:hAnsi="Times New Roman" w:cs="Times New Roman"/>
                <w:b/>
                <w:sz w:val="24"/>
                <w:szCs w:val="24"/>
              </w:rPr>
              <w:t>% of Total deposits</w:t>
            </w:r>
          </w:p>
        </w:tc>
        <w:tc>
          <w:tcPr>
            <w:tcW w:w="1776" w:type="dxa"/>
          </w:tcPr>
          <w:p w14:paraId="1BCC6615" w14:textId="77777777" w:rsidR="00596804" w:rsidRPr="00C76CAB" w:rsidRDefault="00022433">
            <w:pPr>
              <w:pStyle w:val="TableParagraph"/>
              <w:spacing w:before="119" w:line="276" w:lineRule="auto"/>
              <w:ind w:left="379" w:right="333" w:hanging="18"/>
              <w:rPr>
                <w:rFonts w:ascii="Times New Roman" w:hAnsi="Times New Roman" w:cs="Times New Roman"/>
                <w:b/>
                <w:sz w:val="24"/>
                <w:szCs w:val="24"/>
              </w:rPr>
            </w:pPr>
            <w:r w:rsidRPr="00C76CAB">
              <w:rPr>
                <w:rFonts w:ascii="Times New Roman" w:hAnsi="Times New Roman" w:cs="Times New Roman"/>
                <w:b/>
                <w:sz w:val="24"/>
                <w:szCs w:val="24"/>
              </w:rPr>
              <w:t>% of Total Liabilities</w:t>
            </w:r>
          </w:p>
        </w:tc>
      </w:tr>
      <w:tr w:rsidR="00596804" w:rsidRPr="00C76CAB" w14:paraId="16489010" w14:textId="77777777">
        <w:trPr>
          <w:trHeight w:val="531"/>
        </w:trPr>
        <w:tc>
          <w:tcPr>
            <w:tcW w:w="571" w:type="dxa"/>
          </w:tcPr>
          <w:p w14:paraId="1F45C34F" w14:textId="77777777" w:rsidR="00596804" w:rsidRPr="00C76CAB" w:rsidRDefault="00022433" w:rsidP="00022433">
            <w:pPr>
              <w:pStyle w:val="TableParagraph"/>
              <w:jc w:val="center"/>
              <w:rPr>
                <w:rFonts w:ascii="Times New Roman" w:hAnsi="Times New Roman" w:cs="Times New Roman"/>
                <w:sz w:val="24"/>
                <w:szCs w:val="24"/>
              </w:rPr>
            </w:pPr>
            <w:r w:rsidRPr="00C76CAB">
              <w:rPr>
                <w:rFonts w:ascii="Times New Roman" w:hAnsi="Times New Roman" w:cs="Times New Roman"/>
                <w:sz w:val="24"/>
                <w:szCs w:val="24"/>
              </w:rPr>
              <w:t>1</w:t>
            </w:r>
          </w:p>
        </w:tc>
        <w:tc>
          <w:tcPr>
            <w:tcW w:w="1794" w:type="dxa"/>
          </w:tcPr>
          <w:p w14:paraId="52627BB3" w14:textId="451B634C" w:rsidR="00596804" w:rsidRPr="00C76CAB" w:rsidRDefault="00FF3866" w:rsidP="00022433">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775" w:type="dxa"/>
          </w:tcPr>
          <w:p w14:paraId="27305F3D" w14:textId="454F03B9" w:rsidR="00596804" w:rsidRPr="00C76CAB" w:rsidRDefault="00F219FE" w:rsidP="00022433">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E767EA">
              <w:rPr>
                <w:rFonts w:ascii="Times New Roman" w:hAnsi="Times New Roman" w:cs="Times New Roman"/>
                <w:sz w:val="24"/>
                <w:szCs w:val="24"/>
              </w:rPr>
              <w:t>0</w:t>
            </w:r>
            <w:r w:rsidR="008B314A">
              <w:rPr>
                <w:rFonts w:ascii="Times New Roman" w:hAnsi="Times New Roman" w:cs="Times New Roman"/>
                <w:sz w:val="24"/>
                <w:szCs w:val="24"/>
              </w:rPr>
              <w:t>62.37</w:t>
            </w:r>
          </w:p>
        </w:tc>
        <w:tc>
          <w:tcPr>
            <w:tcW w:w="1775" w:type="dxa"/>
          </w:tcPr>
          <w:p w14:paraId="05C27F81" w14:textId="28D95F7A" w:rsidR="00596804" w:rsidRPr="00C76CAB" w:rsidRDefault="00022433" w:rsidP="00022433">
            <w:pPr>
              <w:pStyle w:val="TableParagraph"/>
              <w:jc w:val="center"/>
              <w:rPr>
                <w:rFonts w:ascii="Times New Roman" w:hAnsi="Times New Roman" w:cs="Times New Roman"/>
                <w:sz w:val="24"/>
                <w:szCs w:val="24"/>
              </w:rPr>
            </w:pPr>
            <w:r w:rsidRPr="00C76CAB">
              <w:rPr>
                <w:rFonts w:ascii="Times New Roman" w:hAnsi="Times New Roman" w:cs="Times New Roman"/>
                <w:sz w:val="24"/>
                <w:szCs w:val="24"/>
              </w:rPr>
              <w:t>NA</w:t>
            </w:r>
          </w:p>
        </w:tc>
        <w:tc>
          <w:tcPr>
            <w:tcW w:w="1776" w:type="dxa"/>
          </w:tcPr>
          <w:p w14:paraId="11A23143" w14:textId="08185FF7" w:rsidR="00596804" w:rsidRPr="00C76CAB" w:rsidRDefault="00E767EA" w:rsidP="00022433">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296B74">
              <w:rPr>
                <w:rFonts w:ascii="Times New Roman" w:hAnsi="Times New Roman" w:cs="Times New Roman"/>
                <w:sz w:val="24"/>
                <w:szCs w:val="24"/>
              </w:rPr>
              <w:t>3.96</w:t>
            </w:r>
            <w:r>
              <w:rPr>
                <w:rFonts w:ascii="Times New Roman" w:hAnsi="Times New Roman" w:cs="Times New Roman"/>
                <w:sz w:val="24"/>
                <w:szCs w:val="24"/>
              </w:rPr>
              <w:t>%</w:t>
            </w:r>
          </w:p>
        </w:tc>
      </w:tr>
    </w:tbl>
    <w:p w14:paraId="78CB7C8B" w14:textId="77777777" w:rsidR="00596804" w:rsidRPr="00C76CAB" w:rsidRDefault="00596804">
      <w:pPr>
        <w:pStyle w:val="BodyText"/>
        <w:spacing w:before="7"/>
        <w:rPr>
          <w:rFonts w:ascii="Times New Roman" w:hAnsi="Times New Roman" w:cs="Times New Roman"/>
          <w:sz w:val="24"/>
          <w:szCs w:val="24"/>
        </w:rPr>
      </w:pPr>
    </w:p>
    <w:p w14:paraId="3175CC52" w14:textId="3312A41C" w:rsidR="00596804" w:rsidRPr="00C76CAB" w:rsidRDefault="00022433">
      <w:pPr>
        <w:pStyle w:val="ListParagraph"/>
        <w:numPr>
          <w:ilvl w:val="0"/>
          <w:numId w:val="1"/>
        </w:numPr>
        <w:tabs>
          <w:tab w:val="left" w:pos="1179"/>
          <w:tab w:val="left" w:pos="1181"/>
        </w:tabs>
        <w:spacing w:before="0"/>
        <w:ind w:hanging="722"/>
        <w:rPr>
          <w:rFonts w:ascii="Times New Roman" w:hAnsi="Times New Roman" w:cs="Times New Roman"/>
          <w:sz w:val="24"/>
          <w:szCs w:val="24"/>
        </w:rPr>
      </w:pPr>
      <w:r w:rsidRPr="00C76CAB">
        <w:rPr>
          <w:rFonts w:ascii="Times New Roman" w:hAnsi="Times New Roman" w:cs="Times New Roman"/>
          <w:sz w:val="24"/>
          <w:szCs w:val="24"/>
        </w:rPr>
        <w:t>Top 20 large deposits (amount in ₹ crore and % of total</w:t>
      </w:r>
      <w:r w:rsidRPr="00C76CAB">
        <w:rPr>
          <w:rFonts w:ascii="Times New Roman" w:hAnsi="Times New Roman" w:cs="Times New Roman"/>
          <w:spacing w:val="-16"/>
          <w:sz w:val="24"/>
          <w:szCs w:val="24"/>
        </w:rPr>
        <w:t xml:space="preserve"> </w:t>
      </w:r>
      <w:r w:rsidRPr="00C76CAB">
        <w:rPr>
          <w:rFonts w:ascii="Times New Roman" w:hAnsi="Times New Roman" w:cs="Times New Roman"/>
          <w:sz w:val="24"/>
          <w:szCs w:val="24"/>
        </w:rPr>
        <w:t>deposits) - NIL</w:t>
      </w:r>
    </w:p>
    <w:p w14:paraId="0F2C27F4" w14:textId="598AABD1" w:rsidR="00596804" w:rsidRPr="00C76CAB" w:rsidRDefault="00022433">
      <w:pPr>
        <w:pStyle w:val="ListParagraph"/>
        <w:numPr>
          <w:ilvl w:val="0"/>
          <w:numId w:val="1"/>
        </w:numPr>
        <w:tabs>
          <w:tab w:val="left" w:pos="1179"/>
          <w:tab w:val="left" w:pos="1180"/>
        </w:tabs>
        <w:spacing w:before="159"/>
        <w:ind w:left="1179"/>
        <w:rPr>
          <w:rFonts w:ascii="Times New Roman" w:hAnsi="Times New Roman" w:cs="Times New Roman"/>
          <w:sz w:val="24"/>
          <w:szCs w:val="24"/>
        </w:rPr>
      </w:pPr>
      <w:r w:rsidRPr="00C76CAB">
        <w:rPr>
          <w:rFonts w:ascii="Times New Roman" w:hAnsi="Times New Roman" w:cs="Times New Roman"/>
          <w:sz w:val="24"/>
          <w:szCs w:val="24"/>
        </w:rPr>
        <w:t>Top 10 borrowings (amount in ₹ crore and % of total</w:t>
      </w:r>
      <w:r w:rsidRPr="00C76CAB">
        <w:rPr>
          <w:rFonts w:ascii="Times New Roman" w:hAnsi="Times New Roman" w:cs="Times New Roman"/>
          <w:spacing w:val="-14"/>
          <w:sz w:val="24"/>
          <w:szCs w:val="24"/>
        </w:rPr>
        <w:t xml:space="preserve"> </w:t>
      </w:r>
      <w:r w:rsidRPr="00C76CAB">
        <w:rPr>
          <w:rFonts w:ascii="Times New Roman" w:hAnsi="Times New Roman" w:cs="Times New Roman"/>
          <w:sz w:val="24"/>
          <w:szCs w:val="24"/>
        </w:rPr>
        <w:t>borrowings) – Rs.</w:t>
      </w:r>
      <w:r w:rsidR="00002B4B">
        <w:rPr>
          <w:rFonts w:ascii="Times New Roman" w:hAnsi="Times New Roman" w:cs="Times New Roman"/>
          <w:sz w:val="24"/>
          <w:szCs w:val="24"/>
        </w:rPr>
        <w:t>3</w:t>
      </w:r>
      <w:r w:rsidR="00E767EA">
        <w:rPr>
          <w:rFonts w:ascii="Times New Roman" w:hAnsi="Times New Roman" w:cs="Times New Roman"/>
          <w:sz w:val="24"/>
          <w:szCs w:val="24"/>
        </w:rPr>
        <w:t>5</w:t>
      </w:r>
      <w:r w:rsidR="008B314A">
        <w:rPr>
          <w:rFonts w:ascii="Times New Roman" w:hAnsi="Times New Roman" w:cs="Times New Roman"/>
          <w:sz w:val="24"/>
          <w:szCs w:val="24"/>
        </w:rPr>
        <w:t>32.58</w:t>
      </w:r>
      <w:r w:rsidR="0055620B">
        <w:rPr>
          <w:rFonts w:ascii="Times New Roman" w:hAnsi="Times New Roman" w:cs="Times New Roman"/>
          <w:sz w:val="24"/>
          <w:szCs w:val="24"/>
        </w:rPr>
        <w:t xml:space="preserve"> </w:t>
      </w:r>
      <w:r w:rsidRPr="00C76CAB">
        <w:rPr>
          <w:rFonts w:ascii="Times New Roman" w:hAnsi="Times New Roman" w:cs="Times New Roman"/>
          <w:sz w:val="24"/>
          <w:szCs w:val="24"/>
        </w:rPr>
        <w:t>Cr (</w:t>
      </w:r>
      <w:r w:rsidR="00002B4B">
        <w:rPr>
          <w:rFonts w:ascii="Times New Roman" w:hAnsi="Times New Roman" w:cs="Times New Roman"/>
          <w:sz w:val="24"/>
          <w:szCs w:val="24"/>
        </w:rPr>
        <w:t>4</w:t>
      </w:r>
      <w:r w:rsidR="001E3F5E">
        <w:rPr>
          <w:rFonts w:ascii="Times New Roman" w:hAnsi="Times New Roman" w:cs="Times New Roman"/>
          <w:sz w:val="24"/>
          <w:szCs w:val="24"/>
        </w:rPr>
        <w:t>2.34</w:t>
      </w:r>
      <w:r w:rsidRPr="00C76CAB">
        <w:rPr>
          <w:rFonts w:ascii="Times New Roman" w:hAnsi="Times New Roman" w:cs="Times New Roman"/>
          <w:sz w:val="24"/>
          <w:szCs w:val="24"/>
        </w:rPr>
        <w:t>%)</w:t>
      </w:r>
    </w:p>
    <w:p w14:paraId="2C057E07" w14:textId="552EC2C5" w:rsidR="00596804" w:rsidRDefault="00022433">
      <w:pPr>
        <w:pStyle w:val="ListParagraph"/>
        <w:numPr>
          <w:ilvl w:val="0"/>
          <w:numId w:val="1"/>
        </w:numPr>
        <w:tabs>
          <w:tab w:val="left" w:pos="1179"/>
          <w:tab w:val="left" w:pos="1180"/>
        </w:tabs>
        <w:ind w:left="1179"/>
        <w:rPr>
          <w:rFonts w:ascii="Times New Roman" w:hAnsi="Times New Roman" w:cs="Times New Roman"/>
          <w:sz w:val="24"/>
          <w:szCs w:val="24"/>
        </w:rPr>
      </w:pPr>
      <w:r w:rsidRPr="00C76CAB">
        <w:rPr>
          <w:rFonts w:ascii="Times New Roman" w:hAnsi="Times New Roman" w:cs="Times New Roman"/>
          <w:sz w:val="24"/>
          <w:szCs w:val="24"/>
        </w:rPr>
        <w:t>Funding Concentration based on significant</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instrument/product</w:t>
      </w:r>
    </w:p>
    <w:p w14:paraId="7DF2D761" w14:textId="27A7569A" w:rsidR="00CF2791" w:rsidRDefault="00CF2791" w:rsidP="00CF2791">
      <w:pPr>
        <w:tabs>
          <w:tab w:val="left" w:pos="1179"/>
          <w:tab w:val="left" w:pos="1180"/>
        </w:tabs>
        <w:rPr>
          <w:rFonts w:ascii="Times New Roman" w:hAnsi="Times New Roman" w:cs="Times New Roman"/>
          <w:sz w:val="24"/>
          <w:szCs w:val="24"/>
        </w:rPr>
      </w:pPr>
    </w:p>
    <w:tbl>
      <w:tblPr>
        <w:tblW w:w="7640" w:type="dxa"/>
        <w:tblInd w:w="1604" w:type="dxa"/>
        <w:tblLook w:val="04A0" w:firstRow="1" w:lastRow="0" w:firstColumn="1" w:lastColumn="0" w:noHBand="0" w:noVBand="1"/>
      </w:tblPr>
      <w:tblGrid>
        <w:gridCol w:w="760"/>
        <w:gridCol w:w="3140"/>
        <w:gridCol w:w="1820"/>
        <w:gridCol w:w="1920"/>
      </w:tblGrid>
      <w:tr w:rsidR="00CF2791" w:rsidRPr="00CF2791" w14:paraId="79020DAA" w14:textId="77777777" w:rsidTr="00CF2791">
        <w:trPr>
          <w:trHeight w:val="29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2695" w14:textId="77777777" w:rsidR="00CF2791" w:rsidRPr="00CF2791" w:rsidRDefault="00CF2791" w:rsidP="00CF2791">
            <w:pPr>
              <w:widowControl/>
              <w:autoSpaceDE/>
              <w:autoSpaceDN/>
              <w:rPr>
                <w:rFonts w:ascii="Calibri" w:eastAsia="Times New Roman" w:hAnsi="Calibri" w:cs="Calibri"/>
                <w:b/>
                <w:bCs/>
                <w:color w:val="000000"/>
                <w:lang w:val="en-IN" w:eastAsia="en-IN" w:bidi="ar-SA"/>
              </w:rPr>
            </w:pPr>
            <w:r w:rsidRPr="00CF2791">
              <w:rPr>
                <w:rFonts w:ascii="Calibri" w:eastAsia="Times New Roman" w:hAnsi="Calibri" w:cs="Calibri"/>
                <w:b/>
                <w:bCs/>
                <w:color w:val="000000"/>
                <w:lang w:val="en-IN" w:eastAsia="en-IN" w:bidi="ar-SA"/>
              </w:rPr>
              <w:t>Sr No.</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14:paraId="76DF1E22" w14:textId="77777777" w:rsidR="00CF2791" w:rsidRPr="00CF2791" w:rsidRDefault="00CF2791" w:rsidP="00CF2791">
            <w:pPr>
              <w:widowControl/>
              <w:autoSpaceDE/>
              <w:autoSpaceDN/>
              <w:rPr>
                <w:rFonts w:ascii="Calibri" w:eastAsia="Times New Roman" w:hAnsi="Calibri" w:cs="Calibri"/>
                <w:b/>
                <w:bCs/>
                <w:color w:val="000000"/>
                <w:lang w:val="en-IN" w:eastAsia="en-IN" w:bidi="ar-SA"/>
              </w:rPr>
            </w:pPr>
            <w:r w:rsidRPr="00CF2791">
              <w:rPr>
                <w:rFonts w:ascii="Calibri" w:eastAsia="Times New Roman" w:hAnsi="Calibri" w:cs="Calibri"/>
                <w:b/>
                <w:bCs/>
                <w:color w:val="000000"/>
                <w:lang w:val="en-IN" w:eastAsia="en-IN" w:bidi="ar-SA"/>
              </w:rPr>
              <w:t>Name of the Instrument/product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6893EFDE" w14:textId="77777777" w:rsidR="00CF2791" w:rsidRPr="00CF2791" w:rsidRDefault="00CF2791" w:rsidP="00CF2791">
            <w:pPr>
              <w:widowControl/>
              <w:autoSpaceDE/>
              <w:autoSpaceDN/>
              <w:rPr>
                <w:rFonts w:ascii="Calibri" w:eastAsia="Times New Roman" w:hAnsi="Calibri" w:cs="Calibri"/>
                <w:b/>
                <w:bCs/>
                <w:color w:val="000000"/>
                <w:lang w:val="en-IN" w:eastAsia="en-IN" w:bidi="ar-SA"/>
              </w:rPr>
            </w:pPr>
            <w:r w:rsidRPr="00CF2791">
              <w:rPr>
                <w:rFonts w:ascii="Calibri" w:eastAsia="Times New Roman" w:hAnsi="Calibri" w:cs="Calibri"/>
                <w:b/>
                <w:bCs/>
                <w:color w:val="000000"/>
                <w:lang w:val="en-IN" w:eastAsia="en-IN" w:bidi="ar-SA"/>
              </w:rPr>
              <w:t>Amount (</w:t>
            </w:r>
            <w:proofErr w:type="spellStart"/>
            <w:proofErr w:type="gramStart"/>
            <w:r w:rsidRPr="00CF2791">
              <w:rPr>
                <w:rFonts w:ascii="Calibri" w:eastAsia="Times New Roman" w:hAnsi="Calibri" w:cs="Calibri"/>
                <w:b/>
                <w:bCs/>
                <w:color w:val="000000"/>
                <w:lang w:val="en-IN" w:eastAsia="en-IN" w:bidi="ar-SA"/>
              </w:rPr>
              <w:t>Rs.Crore</w:t>
            </w:r>
            <w:proofErr w:type="spellEnd"/>
            <w:proofErr w:type="gramEnd"/>
            <w:r w:rsidRPr="00CF2791">
              <w:rPr>
                <w:rFonts w:ascii="Calibri" w:eastAsia="Times New Roman" w:hAnsi="Calibri" w:cs="Calibri"/>
                <w:b/>
                <w:bCs/>
                <w:color w:val="000000"/>
                <w:lang w:val="en-IN" w:eastAsia="en-IN" w:bidi="ar-SA"/>
              </w:rPr>
              <w: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E65F8AF" w14:textId="77777777" w:rsidR="00CF2791" w:rsidRPr="00CF2791" w:rsidRDefault="00CF2791" w:rsidP="00CF2791">
            <w:pPr>
              <w:widowControl/>
              <w:autoSpaceDE/>
              <w:autoSpaceDN/>
              <w:rPr>
                <w:rFonts w:ascii="Calibri" w:eastAsia="Times New Roman" w:hAnsi="Calibri" w:cs="Calibri"/>
                <w:b/>
                <w:bCs/>
                <w:color w:val="000000"/>
                <w:lang w:val="en-IN" w:eastAsia="en-IN" w:bidi="ar-SA"/>
              </w:rPr>
            </w:pPr>
            <w:r w:rsidRPr="00CF2791">
              <w:rPr>
                <w:rFonts w:ascii="Calibri" w:eastAsia="Times New Roman" w:hAnsi="Calibri" w:cs="Calibri"/>
                <w:b/>
                <w:bCs/>
                <w:color w:val="000000"/>
                <w:lang w:val="en-IN" w:eastAsia="en-IN" w:bidi="ar-SA"/>
              </w:rPr>
              <w:t>% of Total Liabilities</w:t>
            </w:r>
          </w:p>
        </w:tc>
      </w:tr>
      <w:tr w:rsidR="00D30899" w:rsidRPr="00CF2791" w14:paraId="25028C7C"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ED32685" w14:textId="77777777" w:rsidR="00D30899" w:rsidRPr="00CF2791" w:rsidRDefault="00D30899" w:rsidP="00D30899">
            <w:pPr>
              <w:widowControl/>
              <w:autoSpaceDE/>
              <w:autoSpaceDN/>
              <w:jc w:val="center"/>
              <w:rPr>
                <w:rFonts w:ascii="Calibri" w:eastAsia="Times New Roman" w:hAnsi="Calibri" w:cs="Calibri"/>
                <w:color w:val="000000"/>
                <w:lang w:val="en-IN" w:eastAsia="en-IN" w:bidi="ar-SA"/>
              </w:rPr>
            </w:pPr>
            <w:r w:rsidRPr="00CF2791">
              <w:rPr>
                <w:rFonts w:ascii="Calibri" w:eastAsia="Times New Roman" w:hAnsi="Calibri" w:cs="Calibri"/>
                <w:color w:val="000000"/>
                <w:lang w:val="en-IN" w:eastAsia="en-IN" w:bidi="ar-SA"/>
              </w:rPr>
              <w:t>1</w:t>
            </w:r>
          </w:p>
        </w:tc>
        <w:tc>
          <w:tcPr>
            <w:tcW w:w="3140" w:type="dxa"/>
            <w:tcBorders>
              <w:top w:val="nil"/>
              <w:left w:val="nil"/>
              <w:bottom w:val="single" w:sz="4" w:space="0" w:color="auto"/>
              <w:right w:val="single" w:sz="4" w:space="0" w:color="auto"/>
            </w:tcBorders>
            <w:shd w:val="clear" w:color="auto" w:fill="auto"/>
            <w:noWrap/>
            <w:vAlign w:val="bottom"/>
            <w:hideMark/>
          </w:tcPr>
          <w:p w14:paraId="6579AE95" w14:textId="51A53F19" w:rsidR="00D30899" w:rsidRPr="00CF2791" w:rsidRDefault="00D30899" w:rsidP="00D30899">
            <w:pPr>
              <w:widowControl/>
              <w:autoSpaceDE/>
              <w:autoSpaceDN/>
              <w:rPr>
                <w:rFonts w:ascii="Calibri" w:eastAsia="Times New Roman" w:hAnsi="Calibri" w:cs="Calibri"/>
                <w:color w:val="000000"/>
                <w:lang w:val="en-IN" w:eastAsia="en-IN" w:bidi="ar-SA"/>
              </w:rPr>
            </w:pPr>
            <w:r>
              <w:rPr>
                <w:rFonts w:ascii="Calibri" w:hAnsi="Calibri" w:cs="Calibri"/>
                <w:color w:val="000000"/>
              </w:rPr>
              <w:t>Term Loan</w:t>
            </w:r>
          </w:p>
        </w:tc>
        <w:tc>
          <w:tcPr>
            <w:tcW w:w="1820" w:type="dxa"/>
            <w:tcBorders>
              <w:top w:val="nil"/>
              <w:left w:val="nil"/>
              <w:bottom w:val="single" w:sz="4" w:space="0" w:color="auto"/>
              <w:right w:val="single" w:sz="4" w:space="0" w:color="auto"/>
            </w:tcBorders>
            <w:shd w:val="clear" w:color="auto" w:fill="auto"/>
            <w:noWrap/>
            <w:vAlign w:val="bottom"/>
            <w:hideMark/>
          </w:tcPr>
          <w:p w14:paraId="082B640C" w14:textId="013707DA"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5138.52</w:t>
            </w:r>
          </w:p>
        </w:tc>
        <w:tc>
          <w:tcPr>
            <w:tcW w:w="1920" w:type="dxa"/>
            <w:tcBorders>
              <w:top w:val="nil"/>
              <w:left w:val="nil"/>
              <w:bottom w:val="single" w:sz="4" w:space="0" w:color="auto"/>
              <w:right w:val="single" w:sz="4" w:space="0" w:color="auto"/>
            </w:tcBorders>
            <w:shd w:val="clear" w:color="auto" w:fill="auto"/>
            <w:noWrap/>
            <w:vAlign w:val="bottom"/>
            <w:hideMark/>
          </w:tcPr>
          <w:p w14:paraId="03A9D2A4" w14:textId="02FB286A"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59.69%</w:t>
            </w:r>
          </w:p>
        </w:tc>
      </w:tr>
      <w:tr w:rsidR="00D30899" w:rsidRPr="00CF2791" w14:paraId="6868ACC0"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D43FA5" w14:textId="77777777" w:rsidR="00D30899" w:rsidRPr="00CF2791" w:rsidRDefault="00D30899" w:rsidP="00D30899">
            <w:pPr>
              <w:widowControl/>
              <w:autoSpaceDE/>
              <w:autoSpaceDN/>
              <w:jc w:val="center"/>
              <w:rPr>
                <w:rFonts w:ascii="Calibri" w:eastAsia="Times New Roman" w:hAnsi="Calibri" w:cs="Calibri"/>
                <w:color w:val="000000"/>
                <w:lang w:val="en-IN" w:eastAsia="en-IN" w:bidi="ar-SA"/>
              </w:rPr>
            </w:pPr>
            <w:r w:rsidRPr="00CF2791">
              <w:rPr>
                <w:rFonts w:ascii="Calibri" w:eastAsia="Times New Roman" w:hAnsi="Calibri" w:cs="Calibri"/>
                <w:color w:val="000000"/>
                <w:lang w:val="en-IN" w:eastAsia="en-IN" w:bidi="ar-SA"/>
              </w:rPr>
              <w:t>2</w:t>
            </w:r>
          </w:p>
        </w:tc>
        <w:tc>
          <w:tcPr>
            <w:tcW w:w="3140" w:type="dxa"/>
            <w:tcBorders>
              <w:top w:val="nil"/>
              <w:left w:val="nil"/>
              <w:bottom w:val="single" w:sz="4" w:space="0" w:color="auto"/>
              <w:right w:val="single" w:sz="4" w:space="0" w:color="auto"/>
            </w:tcBorders>
            <w:shd w:val="clear" w:color="auto" w:fill="auto"/>
            <w:noWrap/>
            <w:vAlign w:val="bottom"/>
            <w:hideMark/>
          </w:tcPr>
          <w:p w14:paraId="029A8B8A" w14:textId="4C50B689" w:rsidR="00D30899" w:rsidRPr="00CF2791" w:rsidRDefault="00D30899" w:rsidP="00D30899">
            <w:pPr>
              <w:widowControl/>
              <w:autoSpaceDE/>
              <w:autoSpaceDN/>
              <w:rPr>
                <w:rFonts w:ascii="Calibri" w:eastAsia="Times New Roman" w:hAnsi="Calibri" w:cs="Calibri"/>
                <w:color w:val="000000"/>
                <w:lang w:val="en-IN" w:eastAsia="en-IN" w:bidi="ar-SA"/>
              </w:rPr>
            </w:pPr>
            <w:r>
              <w:rPr>
                <w:rFonts w:ascii="Calibri" w:hAnsi="Calibri" w:cs="Calibri"/>
                <w:color w:val="000000"/>
              </w:rPr>
              <w:t>CP</w:t>
            </w:r>
          </w:p>
        </w:tc>
        <w:tc>
          <w:tcPr>
            <w:tcW w:w="1820" w:type="dxa"/>
            <w:tcBorders>
              <w:top w:val="nil"/>
              <w:left w:val="nil"/>
              <w:bottom w:val="single" w:sz="4" w:space="0" w:color="auto"/>
              <w:right w:val="single" w:sz="4" w:space="0" w:color="auto"/>
            </w:tcBorders>
            <w:shd w:val="clear" w:color="auto" w:fill="auto"/>
            <w:noWrap/>
            <w:vAlign w:val="bottom"/>
            <w:hideMark/>
          </w:tcPr>
          <w:p w14:paraId="7DE7E480" w14:textId="352B2392"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0</w:t>
            </w:r>
          </w:p>
        </w:tc>
        <w:tc>
          <w:tcPr>
            <w:tcW w:w="1920" w:type="dxa"/>
            <w:tcBorders>
              <w:top w:val="nil"/>
              <w:left w:val="nil"/>
              <w:bottom w:val="single" w:sz="4" w:space="0" w:color="auto"/>
              <w:right w:val="single" w:sz="4" w:space="0" w:color="auto"/>
            </w:tcBorders>
            <w:shd w:val="clear" w:color="auto" w:fill="auto"/>
            <w:noWrap/>
            <w:vAlign w:val="bottom"/>
            <w:hideMark/>
          </w:tcPr>
          <w:p w14:paraId="44360B9F" w14:textId="51FE2358"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0.00%</w:t>
            </w:r>
          </w:p>
        </w:tc>
      </w:tr>
      <w:tr w:rsidR="00D30899" w:rsidRPr="00CF2791" w14:paraId="607D5D63"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B8215D" w14:textId="77777777" w:rsidR="00D30899" w:rsidRPr="00CF2791" w:rsidRDefault="00D30899" w:rsidP="00D30899">
            <w:pPr>
              <w:widowControl/>
              <w:autoSpaceDE/>
              <w:autoSpaceDN/>
              <w:jc w:val="center"/>
              <w:rPr>
                <w:rFonts w:ascii="Calibri" w:eastAsia="Times New Roman" w:hAnsi="Calibri" w:cs="Calibri"/>
                <w:color w:val="000000"/>
                <w:lang w:val="en-IN" w:eastAsia="en-IN" w:bidi="ar-SA"/>
              </w:rPr>
            </w:pPr>
            <w:r w:rsidRPr="00CF2791">
              <w:rPr>
                <w:rFonts w:ascii="Calibri" w:eastAsia="Times New Roman" w:hAnsi="Calibri" w:cs="Calibri"/>
                <w:color w:val="000000"/>
                <w:lang w:val="en-IN" w:eastAsia="en-IN" w:bidi="ar-SA"/>
              </w:rPr>
              <w:t>3</w:t>
            </w:r>
          </w:p>
        </w:tc>
        <w:tc>
          <w:tcPr>
            <w:tcW w:w="3140" w:type="dxa"/>
            <w:tcBorders>
              <w:top w:val="nil"/>
              <w:left w:val="nil"/>
              <w:bottom w:val="single" w:sz="4" w:space="0" w:color="auto"/>
              <w:right w:val="single" w:sz="4" w:space="0" w:color="auto"/>
            </w:tcBorders>
            <w:shd w:val="clear" w:color="auto" w:fill="auto"/>
            <w:noWrap/>
            <w:vAlign w:val="bottom"/>
            <w:hideMark/>
          </w:tcPr>
          <w:p w14:paraId="3CE49792" w14:textId="6CCAE8B7" w:rsidR="00D30899" w:rsidRPr="00CF2791" w:rsidRDefault="00D30899" w:rsidP="00D30899">
            <w:pPr>
              <w:widowControl/>
              <w:autoSpaceDE/>
              <w:autoSpaceDN/>
              <w:rPr>
                <w:rFonts w:ascii="Calibri" w:eastAsia="Times New Roman" w:hAnsi="Calibri" w:cs="Calibri"/>
                <w:color w:val="000000"/>
                <w:lang w:val="en-IN" w:eastAsia="en-IN" w:bidi="ar-SA"/>
              </w:rPr>
            </w:pPr>
            <w:r>
              <w:rPr>
                <w:rFonts w:ascii="Calibri" w:hAnsi="Calibri" w:cs="Calibri"/>
                <w:color w:val="000000"/>
              </w:rPr>
              <w:t>PTC</w:t>
            </w:r>
          </w:p>
        </w:tc>
        <w:tc>
          <w:tcPr>
            <w:tcW w:w="1820" w:type="dxa"/>
            <w:tcBorders>
              <w:top w:val="nil"/>
              <w:left w:val="nil"/>
              <w:bottom w:val="single" w:sz="4" w:space="0" w:color="auto"/>
              <w:right w:val="single" w:sz="4" w:space="0" w:color="auto"/>
            </w:tcBorders>
            <w:shd w:val="clear" w:color="auto" w:fill="auto"/>
            <w:noWrap/>
            <w:vAlign w:val="bottom"/>
            <w:hideMark/>
          </w:tcPr>
          <w:p w14:paraId="28978B04" w14:textId="48627BBC"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1300.92</w:t>
            </w:r>
          </w:p>
        </w:tc>
        <w:tc>
          <w:tcPr>
            <w:tcW w:w="1920" w:type="dxa"/>
            <w:tcBorders>
              <w:top w:val="nil"/>
              <w:left w:val="nil"/>
              <w:bottom w:val="single" w:sz="4" w:space="0" w:color="auto"/>
              <w:right w:val="single" w:sz="4" w:space="0" w:color="auto"/>
            </w:tcBorders>
            <w:shd w:val="clear" w:color="auto" w:fill="auto"/>
            <w:noWrap/>
            <w:vAlign w:val="bottom"/>
            <w:hideMark/>
          </w:tcPr>
          <w:p w14:paraId="58BCDD29" w14:textId="61C4D171"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15.11%</w:t>
            </w:r>
          </w:p>
        </w:tc>
      </w:tr>
      <w:tr w:rsidR="00D30899" w:rsidRPr="00CF2791" w14:paraId="6B3EF603"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748398" w14:textId="77777777" w:rsidR="00D30899" w:rsidRPr="00CF2791" w:rsidRDefault="00D30899" w:rsidP="00D30899">
            <w:pPr>
              <w:widowControl/>
              <w:autoSpaceDE/>
              <w:autoSpaceDN/>
              <w:jc w:val="center"/>
              <w:rPr>
                <w:rFonts w:ascii="Calibri" w:eastAsia="Times New Roman" w:hAnsi="Calibri" w:cs="Calibri"/>
                <w:color w:val="000000"/>
                <w:lang w:val="en-IN" w:eastAsia="en-IN" w:bidi="ar-SA"/>
              </w:rPr>
            </w:pPr>
            <w:r w:rsidRPr="00CF2791">
              <w:rPr>
                <w:rFonts w:ascii="Calibri" w:eastAsia="Times New Roman" w:hAnsi="Calibri" w:cs="Calibri"/>
                <w:color w:val="000000"/>
                <w:lang w:val="en-IN" w:eastAsia="en-IN" w:bidi="ar-SA"/>
              </w:rPr>
              <w:t>4</w:t>
            </w:r>
          </w:p>
        </w:tc>
        <w:tc>
          <w:tcPr>
            <w:tcW w:w="3140" w:type="dxa"/>
            <w:tcBorders>
              <w:top w:val="nil"/>
              <w:left w:val="nil"/>
              <w:bottom w:val="single" w:sz="4" w:space="0" w:color="auto"/>
              <w:right w:val="single" w:sz="4" w:space="0" w:color="auto"/>
            </w:tcBorders>
            <w:shd w:val="clear" w:color="auto" w:fill="auto"/>
            <w:noWrap/>
            <w:vAlign w:val="bottom"/>
            <w:hideMark/>
          </w:tcPr>
          <w:p w14:paraId="44E935E3" w14:textId="64237F5D" w:rsidR="00D30899" w:rsidRPr="00CF2791" w:rsidRDefault="00D30899" w:rsidP="00D30899">
            <w:pPr>
              <w:widowControl/>
              <w:autoSpaceDE/>
              <w:autoSpaceDN/>
              <w:rPr>
                <w:rFonts w:ascii="Calibri" w:eastAsia="Times New Roman" w:hAnsi="Calibri" w:cs="Calibri"/>
                <w:color w:val="000000"/>
                <w:lang w:val="en-IN" w:eastAsia="en-IN" w:bidi="ar-SA"/>
              </w:rPr>
            </w:pPr>
            <w:r>
              <w:rPr>
                <w:rFonts w:ascii="Calibri" w:hAnsi="Calibri" w:cs="Calibri"/>
                <w:color w:val="000000"/>
              </w:rPr>
              <w:t>NCD/ECB</w:t>
            </w:r>
          </w:p>
        </w:tc>
        <w:tc>
          <w:tcPr>
            <w:tcW w:w="1820" w:type="dxa"/>
            <w:tcBorders>
              <w:top w:val="nil"/>
              <w:left w:val="nil"/>
              <w:bottom w:val="single" w:sz="4" w:space="0" w:color="auto"/>
              <w:right w:val="single" w:sz="4" w:space="0" w:color="auto"/>
            </w:tcBorders>
            <w:shd w:val="clear" w:color="auto" w:fill="auto"/>
            <w:noWrap/>
            <w:vAlign w:val="bottom"/>
            <w:hideMark/>
          </w:tcPr>
          <w:p w14:paraId="41C50CDF" w14:textId="08DAE84D"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1904.54</w:t>
            </w:r>
          </w:p>
        </w:tc>
        <w:tc>
          <w:tcPr>
            <w:tcW w:w="1920" w:type="dxa"/>
            <w:tcBorders>
              <w:top w:val="nil"/>
              <w:left w:val="nil"/>
              <w:bottom w:val="single" w:sz="4" w:space="0" w:color="auto"/>
              <w:right w:val="single" w:sz="4" w:space="0" w:color="auto"/>
            </w:tcBorders>
            <w:shd w:val="clear" w:color="auto" w:fill="auto"/>
            <w:noWrap/>
            <w:vAlign w:val="bottom"/>
            <w:hideMark/>
          </w:tcPr>
          <w:p w14:paraId="3F8BA4D3" w14:textId="3689AE49"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22.12%</w:t>
            </w:r>
          </w:p>
        </w:tc>
      </w:tr>
      <w:tr w:rsidR="00D30899" w:rsidRPr="00CF2791" w14:paraId="1E4D4621"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70B63E" w14:textId="77777777" w:rsidR="00D30899" w:rsidRPr="00CF2791" w:rsidRDefault="00D30899" w:rsidP="00D30899">
            <w:pPr>
              <w:widowControl/>
              <w:autoSpaceDE/>
              <w:autoSpaceDN/>
              <w:jc w:val="center"/>
              <w:rPr>
                <w:rFonts w:ascii="Calibri" w:eastAsia="Times New Roman" w:hAnsi="Calibri" w:cs="Calibri"/>
                <w:color w:val="000000"/>
                <w:lang w:val="en-IN" w:eastAsia="en-IN" w:bidi="ar-SA"/>
              </w:rPr>
            </w:pPr>
            <w:r w:rsidRPr="00CF2791">
              <w:rPr>
                <w:rFonts w:ascii="Calibri" w:eastAsia="Times New Roman" w:hAnsi="Calibri" w:cs="Calibri"/>
                <w:color w:val="000000"/>
                <w:lang w:val="en-IN" w:eastAsia="en-IN" w:bidi="ar-SA"/>
              </w:rPr>
              <w:t>5</w:t>
            </w:r>
          </w:p>
        </w:tc>
        <w:tc>
          <w:tcPr>
            <w:tcW w:w="3140" w:type="dxa"/>
            <w:tcBorders>
              <w:top w:val="nil"/>
              <w:left w:val="nil"/>
              <w:bottom w:val="single" w:sz="4" w:space="0" w:color="auto"/>
              <w:right w:val="single" w:sz="4" w:space="0" w:color="auto"/>
            </w:tcBorders>
            <w:shd w:val="clear" w:color="auto" w:fill="auto"/>
            <w:noWrap/>
            <w:vAlign w:val="bottom"/>
            <w:hideMark/>
          </w:tcPr>
          <w:p w14:paraId="240C4AC2" w14:textId="41C3D831" w:rsidR="00D30899" w:rsidRPr="00CF2791" w:rsidRDefault="00D30899" w:rsidP="00D30899">
            <w:pPr>
              <w:widowControl/>
              <w:autoSpaceDE/>
              <w:autoSpaceDN/>
              <w:rPr>
                <w:rFonts w:ascii="Calibri" w:eastAsia="Times New Roman" w:hAnsi="Calibri" w:cs="Calibri"/>
                <w:color w:val="000000"/>
                <w:lang w:val="en-IN" w:eastAsia="en-IN" w:bidi="ar-SA"/>
              </w:rPr>
            </w:pPr>
            <w:r>
              <w:rPr>
                <w:rFonts w:ascii="Calibri" w:hAnsi="Calibri" w:cs="Calibri"/>
                <w:color w:val="000000"/>
              </w:rPr>
              <w:t>Tier II</w:t>
            </w:r>
          </w:p>
        </w:tc>
        <w:tc>
          <w:tcPr>
            <w:tcW w:w="1820" w:type="dxa"/>
            <w:tcBorders>
              <w:top w:val="nil"/>
              <w:left w:val="nil"/>
              <w:bottom w:val="single" w:sz="4" w:space="0" w:color="auto"/>
              <w:right w:val="single" w:sz="4" w:space="0" w:color="auto"/>
            </w:tcBorders>
            <w:shd w:val="clear" w:color="auto" w:fill="auto"/>
            <w:noWrap/>
            <w:vAlign w:val="bottom"/>
            <w:hideMark/>
          </w:tcPr>
          <w:p w14:paraId="069CACFA" w14:textId="52E69FC6"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0.00</w:t>
            </w:r>
          </w:p>
        </w:tc>
        <w:tc>
          <w:tcPr>
            <w:tcW w:w="1920" w:type="dxa"/>
            <w:tcBorders>
              <w:top w:val="nil"/>
              <w:left w:val="nil"/>
              <w:bottom w:val="single" w:sz="4" w:space="0" w:color="auto"/>
              <w:right w:val="single" w:sz="4" w:space="0" w:color="auto"/>
            </w:tcBorders>
            <w:shd w:val="clear" w:color="auto" w:fill="auto"/>
            <w:noWrap/>
            <w:vAlign w:val="bottom"/>
            <w:hideMark/>
          </w:tcPr>
          <w:p w14:paraId="43A4A4A6" w14:textId="46770C3A" w:rsidR="00D30899" w:rsidRPr="00CF2791" w:rsidRDefault="00D30899" w:rsidP="00D30899">
            <w:pPr>
              <w:widowControl/>
              <w:autoSpaceDE/>
              <w:autoSpaceDN/>
              <w:jc w:val="right"/>
              <w:rPr>
                <w:rFonts w:ascii="Calibri" w:eastAsia="Times New Roman" w:hAnsi="Calibri" w:cs="Calibri"/>
                <w:color w:val="000000"/>
                <w:lang w:val="en-IN" w:eastAsia="en-IN" w:bidi="ar-SA"/>
              </w:rPr>
            </w:pPr>
            <w:r>
              <w:rPr>
                <w:rFonts w:ascii="Calibri" w:hAnsi="Calibri" w:cs="Calibri"/>
                <w:color w:val="000000"/>
              </w:rPr>
              <w:t>0.00%</w:t>
            </w:r>
          </w:p>
        </w:tc>
      </w:tr>
      <w:tr w:rsidR="00D30899" w:rsidRPr="00CF2791" w14:paraId="6FB88244" w14:textId="77777777" w:rsidTr="00CF2791">
        <w:trPr>
          <w:trHeight w:val="29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8820F4" w14:textId="77777777" w:rsidR="00D30899" w:rsidRPr="00CF2791" w:rsidRDefault="00D30899" w:rsidP="00D30899">
            <w:pPr>
              <w:widowControl/>
              <w:autoSpaceDE/>
              <w:autoSpaceDN/>
              <w:rPr>
                <w:rFonts w:ascii="Calibri" w:eastAsia="Times New Roman" w:hAnsi="Calibri" w:cs="Calibri"/>
                <w:b/>
                <w:bCs/>
                <w:color w:val="000000"/>
                <w:lang w:val="en-IN" w:eastAsia="en-IN" w:bidi="ar-SA"/>
              </w:rPr>
            </w:pPr>
            <w:r w:rsidRPr="00CF2791">
              <w:rPr>
                <w:rFonts w:ascii="Calibri" w:eastAsia="Times New Roman" w:hAnsi="Calibri" w:cs="Calibri"/>
                <w:b/>
                <w:bCs/>
                <w:color w:val="000000"/>
                <w:lang w:val="en-IN" w:eastAsia="en-IN" w:bidi="ar-SA"/>
              </w:rPr>
              <w:t> </w:t>
            </w:r>
          </w:p>
        </w:tc>
        <w:tc>
          <w:tcPr>
            <w:tcW w:w="3140" w:type="dxa"/>
            <w:tcBorders>
              <w:top w:val="nil"/>
              <w:left w:val="nil"/>
              <w:bottom w:val="single" w:sz="4" w:space="0" w:color="auto"/>
              <w:right w:val="single" w:sz="4" w:space="0" w:color="auto"/>
            </w:tcBorders>
            <w:shd w:val="clear" w:color="auto" w:fill="auto"/>
            <w:noWrap/>
            <w:vAlign w:val="bottom"/>
            <w:hideMark/>
          </w:tcPr>
          <w:p w14:paraId="2264F6A0" w14:textId="50F87D20" w:rsidR="00D30899" w:rsidRPr="00CF2791" w:rsidRDefault="00D30899" w:rsidP="00D30899">
            <w:pPr>
              <w:widowControl/>
              <w:autoSpaceDE/>
              <w:autoSpaceDN/>
              <w:rPr>
                <w:rFonts w:ascii="Calibri" w:eastAsia="Times New Roman" w:hAnsi="Calibri" w:cs="Calibri"/>
                <w:b/>
                <w:bCs/>
                <w:color w:val="000000"/>
                <w:lang w:val="en-IN" w:eastAsia="en-IN" w:bidi="ar-SA"/>
              </w:rPr>
            </w:pPr>
            <w:r>
              <w:rPr>
                <w:rFonts w:ascii="Calibri" w:hAnsi="Calibri" w:cs="Calibri"/>
                <w:b/>
                <w:bCs/>
                <w:color w:val="000000"/>
              </w:rPr>
              <w:t>Total</w:t>
            </w:r>
          </w:p>
        </w:tc>
        <w:tc>
          <w:tcPr>
            <w:tcW w:w="1820" w:type="dxa"/>
            <w:tcBorders>
              <w:top w:val="nil"/>
              <w:left w:val="nil"/>
              <w:bottom w:val="single" w:sz="4" w:space="0" w:color="auto"/>
              <w:right w:val="single" w:sz="4" w:space="0" w:color="auto"/>
            </w:tcBorders>
            <w:shd w:val="clear" w:color="auto" w:fill="auto"/>
            <w:noWrap/>
            <w:vAlign w:val="bottom"/>
            <w:hideMark/>
          </w:tcPr>
          <w:p w14:paraId="165624A1" w14:textId="5996BAD5" w:rsidR="00D30899" w:rsidRPr="00CF2791" w:rsidRDefault="00D30899" w:rsidP="00D30899">
            <w:pPr>
              <w:widowControl/>
              <w:autoSpaceDE/>
              <w:autoSpaceDN/>
              <w:jc w:val="right"/>
              <w:rPr>
                <w:rFonts w:ascii="Calibri" w:eastAsia="Times New Roman" w:hAnsi="Calibri" w:cs="Calibri"/>
                <w:b/>
                <w:bCs/>
                <w:color w:val="000000"/>
                <w:lang w:val="en-IN" w:eastAsia="en-IN" w:bidi="ar-SA"/>
              </w:rPr>
            </w:pPr>
            <w:r>
              <w:rPr>
                <w:rFonts w:ascii="Calibri" w:hAnsi="Calibri" w:cs="Calibri"/>
                <w:b/>
                <w:bCs/>
                <w:color w:val="000000"/>
              </w:rPr>
              <w:t>8343.98</w:t>
            </w:r>
          </w:p>
        </w:tc>
        <w:tc>
          <w:tcPr>
            <w:tcW w:w="1920" w:type="dxa"/>
            <w:tcBorders>
              <w:top w:val="nil"/>
              <w:left w:val="nil"/>
              <w:bottom w:val="single" w:sz="4" w:space="0" w:color="auto"/>
              <w:right w:val="single" w:sz="4" w:space="0" w:color="auto"/>
            </w:tcBorders>
            <w:shd w:val="clear" w:color="auto" w:fill="auto"/>
            <w:noWrap/>
            <w:vAlign w:val="bottom"/>
            <w:hideMark/>
          </w:tcPr>
          <w:p w14:paraId="01C7F96D" w14:textId="69470A71" w:rsidR="00D30899" w:rsidRPr="00CF2791" w:rsidRDefault="00D30899" w:rsidP="00D30899">
            <w:pPr>
              <w:widowControl/>
              <w:autoSpaceDE/>
              <w:autoSpaceDN/>
              <w:jc w:val="right"/>
              <w:rPr>
                <w:rFonts w:ascii="Calibri" w:eastAsia="Times New Roman" w:hAnsi="Calibri" w:cs="Calibri"/>
                <w:b/>
                <w:bCs/>
                <w:color w:val="000000"/>
                <w:lang w:val="en-IN" w:eastAsia="en-IN" w:bidi="ar-SA"/>
              </w:rPr>
            </w:pPr>
            <w:r>
              <w:rPr>
                <w:rFonts w:ascii="Calibri" w:hAnsi="Calibri" w:cs="Calibri"/>
                <w:b/>
                <w:bCs/>
                <w:color w:val="000000"/>
              </w:rPr>
              <w:t>96.93%</w:t>
            </w:r>
          </w:p>
        </w:tc>
      </w:tr>
    </w:tbl>
    <w:p w14:paraId="59B220EB" w14:textId="77777777" w:rsidR="00CF2791" w:rsidRPr="00CF2791" w:rsidRDefault="00CF2791" w:rsidP="00CF2791">
      <w:pPr>
        <w:tabs>
          <w:tab w:val="left" w:pos="1179"/>
          <w:tab w:val="left" w:pos="1180"/>
        </w:tabs>
        <w:rPr>
          <w:rFonts w:ascii="Times New Roman" w:hAnsi="Times New Roman" w:cs="Times New Roman"/>
          <w:sz w:val="24"/>
          <w:szCs w:val="24"/>
        </w:rPr>
      </w:pPr>
    </w:p>
    <w:p w14:paraId="69C0A9D5" w14:textId="77777777" w:rsidR="00596804" w:rsidRPr="00C76CAB" w:rsidRDefault="00596804">
      <w:pPr>
        <w:pStyle w:val="BodyText"/>
        <w:spacing w:before="9"/>
        <w:rPr>
          <w:rFonts w:ascii="Times New Roman" w:hAnsi="Times New Roman" w:cs="Times New Roman"/>
          <w:sz w:val="24"/>
          <w:szCs w:val="24"/>
        </w:rPr>
      </w:pPr>
    </w:p>
    <w:p w14:paraId="2E1C5D8D" w14:textId="77777777" w:rsidR="00596804" w:rsidRPr="00C76CAB" w:rsidRDefault="00022433">
      <w:pPr>
        <w:pStyle w:val="ListParagraph"/>
        <w:numPr>
          <w:ilvl w:val="0"/>
          <w:numId w:val="1"/>
        </w:numPr>
        <w:tabs>
          <w:tab w:val="left" w:pos="1179"/>
          <w:tab w:val="left" w:pos="1180"/>
        </w:tabs>
        <w:spacing w:before="117"/>
        <w:ind w:left="1179"/>
        <w:rPr>
          <w:rFonts w:ascii="Times New Roman" w:hAnsi="Times New Roman" w:cs="Times New Roman"/>
          <w:sz w:val="24"/>
          <w:szCs w:val="24"/>
        </w:rPr>
      </w:pPr>
      <w:r w:rsidRPr="00C76CAB">
        <w:rPr>
          <w:rFonts w:ascii="Times New Roman" w:hAnsi="Times New Roman" w:cs="Times New Roman"/>
          <w:sz w:val="24"/>
          <w:szCs w:val="24"/>
        </w:rPr>
        <w:t>Stock</w:t>
      </w:r>
      <w:r w:rsidRPr="00C76CAB">
        <w:rPr>
          <w:rFonts w:ascii="Times New Roman" w:hAnsi="Times New Roman" w:cs="Times New Roman"/>
          <w:spacing w:val="-1"/>
          <w:sz w:val="24"/>
          <w:szCs w:val="24"/>
        </w:rPr>
        <w:t xml:space="preserve"> </w:t>
      </w:r>
      <w:r w:rsidRPr="00C76CAB">
        <w:rPr>
          <w:rFonts w:ascii="Times New Roman" w:hAnsi="Times New Roman" w:cs="Times New Roman"/>
          <w:sz w:val="24"/>
          <w:szCs w:val="24"/>
        </w:rPr>
        <w:t>Ratios:</w:t>
      </w:r>
    </w:p>
    <w:p w14:paraId="113DA74B" w14:textId="5AA38EDF" w:rsidR="00596804" w:rsidRDefault="00022433">
      <w:pPr>
        <w:pStyle w:val="ListParagraph"/>
        <w:numPr>
          <w:ilvl w:val="1"/>
          <w:numId w:val="1"/>
        </w:numPr>
        <w:tabs>
          <w:tab w:val="left" w:pos="1540"/>
        </w:tabs>
        <w:ind w:hanging="361"/>
        <w:rPr>
          <w:rFonts w:ascii="Times New Roman" w:hAnsi="Times New Roman" w:cs="Times New Roman"/>
          <w:sz w:val="24"/>
          <w:szCs w:val="24"/>
        </w:rPr>
      </w:pPr>
      <w:r w:rsidRPr="00C76CAB">
        <w:rPr>
          <w:rFonts w:ascii="Times New Roman" w:hAnsi="Times New Roman" w:cs="Times New Roman"/>
          <w:sz w:val="24"/>
          <w:szCs w:val="24"/>
        </w:rPr>
        <w:t>Commercial</w:t>
      </w:r>
      <w:r w:rsidRPr="00C76CAB">
        <w:rPr>
          <w:rFonts w:ascii="Times New Roman" w:hAnsi="Times New Roman" w:cs="Times New Roman"/>
          <w:spacing w:val="-6"/>
          <w:sz w:val="24"/>
          <w:szCs w:val="24"/>
        </w:rPr>
        <w:t xml:space="preserve"> </w:t>
      </w:r>
      <w:r w:rsidRPr="00C76CAB">
        <w:rPr>
          <w:rFonts w:ascii="Times New Roman" w:hAnsi="Times New Roman" w:cs="Times New Roman"/>
          <w:sz w:val="24"/>
          <w:szCs w:val="24"/>
        </w:rPr>
        <w:t>papers</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as</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a</w:t>
      </w:r>
      <w:r w:rsidRPr="00C76CAB">
        <w:rPr>
          <w:rFonts w:ascii="Times New Roman" w:hAnsi="Times New Roman" w:cs="Times New Roman"/>
          <w:spacing w:val="-6"/>
          <w:sz w:val="24"/>
          <w:szCs w:val="24"/>
        </w:rPr>
        <w:t xml:space="preserve"> </w:t>
      </w:r>
      <w:r w:rsidRPr="00C76CAB">
        <w:rPr>
          <w:rFonts w:ascii="Times New Roman" w:hAnsi="Times New Roman" w:cs="Times New Roman"/>
          <w:sz w:val="24"/>
          <w:szCs w:val="24"/>
        </w:rPr>
        <w:t>%</w:t>
      </w:r>
      <w:r w:rsidRPr="00C76CAB">
        <w:rPr>
          <w:rFonts w:ascii="Times New Roman" w:hAnsi="Times New Roman" w:cs="Times New Roman"/>
          <w:spacing w:val="-5"/>
          <w:sz w:val="24"/>
          <w:szCs w:val="24"/>
        </w:rPr>
        <w:t xml:space="preserve"> </w:t>
      </w:r>
      <w:r w:rsidRPr="00C76CAB">
        <w:rPr>
          <w:rFonts w:ascii="Times New Roman" w:hAnsi="Times New Roman" w:cs="Times New Roman"/>
          <w:sz w:val="24"/>
          <w:szCs w:val="24"/>
        </w:rPr>
        <w:t>of</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total</w:t>
      </w:r>
      <w:r w:rsidRPr="00C76CAB">
        <w:rPr>
          <w:rFonts w:ascii="Times New Roman" w:hAnsi="Times New Roman" w:cs="Times New Roman"/>
          <w:spacing w:val="-5"/>
          <w:sz w:val="24"/>
          <w:szCs w:val="24"/>
        </w:rPr>
        <w:t xml:space="preserve"> </w:t>
      </w:r>
      <w:r w:rsidRPr="00C76CAB">
        <w:rPr>
          <w:rFonts w:ascii="Times New Roman" w:hAnsi="Times New Roman" w:cs="Times New Roman"/>
          <w:sz w:val="24"/>
          <w:szCs w:val="24"/>
        </w:rPr>
        <w:t>public</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funds,</w:t>
      </w:r>
      <w:r w:rsidRPr="00C76CAB">
        <w:rPr>
          <w:rFonts w:ascii="Times New Roman" w:hAnsi="Times New Roman" w:cs="Times New Roman"/>
          <w:spacing w:val="-7"/>
          <w:sz w:val="24"/>
          <w:szCs w:val="24"/>
        </w:rPr>
        <w:t xml:space="preserve"> </w:t>
      </w:r>
      <w:r w:rsidRPr="00C76CAB">
        <w:rPr>
          <w:rFonts w:ascii="Times New Roman" w:hAnsi="Times New Roman" w:cs="Times New Roman"/>
          <w:sz w:val="24"/>
          <w:szCs w:val="24"/>
        </w:rPr>
        <w:t>total</w:t>
      </w:r>
      <w:r w:rsidRPr="00C76CAB">
        <w:rPr>
          <w:rFonts w:ascii="Times New Roman" w:hAnsi="Times New Roman" w:cs="Times New Roman"/>
          <w:spacing w:val="-5"/>
          <w:sz w:val="24"/>
          <w:szCs w:val="24"/>
        </w:rPr>
        <w:t xml:space="preserve"> </w:t>
      </w:r>
      <w:r w:rsidRPr="00C76CAB">
        <w:rPr>
          <w:rFonts w:ascii="Times New Roman" w:hAnsi="Times New Roman" w:cs="Times New Roman"/>
          <w:sz w:val="24"/>
          <w:szCs w:val="24"/>
        </w:rPr>
        <w:t>liabilities</w:t>
      </w:r>
      <w:r w:rsidRPr="00C76CAB">
        <w:rPr>
          <w:rFonts w:ascii="Times New Roman" w:hAnsi="Times New Roman" w:cs="Times New Roman"/>
          <w:spacing w:val="-4"/>
          <w:sz w:val="24"/>
          <w:szCs w:val="24"/>
        </w:rPr>
        <w:t xml:space="preserve"> </w:t>
      </w:r>
      <w:r w:rsidRPr="00C76CAB">
        <w:rPr>
          <w:rFonts w:ascii="Times New Roman" w:hAnsi="Times New Roman" w:cs="Times New Roman"/>
          <w:sz w:val="24"/>
          <w:szCs w:val="24"/>
        </w:rPr>
        <w:t>and</w:t>
      </w:r>
      <w:r w:rsidRPr="00C76CAB">
        <w:rPr>
          <w:rFonts w:ascii="Times New Roman" w:hAnsi="Times New Roman" w:cs="Times New Roman"/>
          <w:spacing w:val="-5"/>
          <w:sz w:val="24"/>
          <w:szCs w:val="24"/>
        </w:rPr>
        <w:t xml:space="preserve"> </w:t>
      </w:r>
      <w:r w:rsidRPr="00C76CAB">
        <w:rPr>
          <w:rFonts w:ascii="Times New Roman" w:hAnsi="Times New Roman" w:cs="Times New Roman"/>
          <w:sz w:val="24"/>
          <w:szCs w:val="24"/>
        </w:rPr>
        <w:t>total</w:t>
      </w:r>
      <w:r w:rsidRPr="00C76CAB">
        <w:rPr>
          <w:rFonts w:ascii="Times New Roman" w:hAnsi="Times New Roman" w:cs="Times New Roman"/>
          <w:spacing w:val="-5"/>
          <w:sz w:val="24"/>
          <w:szCs w:val="24"/>
        </w:rPr>
        <w:t xml:space="preserve"> </w:t>
      </w:r>
      <w:r w:rsidRPr="00C76CAB">
        <w:rPr>
          <w:rFonts w:ascii="Times New Roman" w:hAnsi="Times New Roman" w:cs="Times New Roman"/>
          <w:sz w:val="24"/>
          <w:szCs w:val="24"/>
        </w:rPr>
        <w:t xml:space="preserve">assets </w:t>
      </w:r>
      <w:r w:rsidR="00D45288">
        <w:rPr>
          <w:rFonts w:ascii="Times New Roman" w:hAnsi="Times New Roman" w:cs="Times New Roman"/>
          <w:sz w:val="24"/>
          <w:szCs w:val="24"/>
        </w:rPr>
        <w:t>–</w:t>
      </w:r>
      <w:r w:rsidRPr="00C76CAB">
        <w:rPr>
          <w:rFonts w:ascii="Times New Roman" w:hAnsi="Times New Roman" w:cs="Times New Roman"/>
          <w:sz w:val="24"/>
          <w:szCs w:val="24"/>
        </w:rPr>
        <w:t xml:space="preserve"> </w:t>
      </w:r>
    </w:p>
    <w:p w14:paraId="4FACE1BE" w14:textId="528E169F" w:rsidR="00D45288" w:rsidRDefault="00D45288" w:rsidP="00D45288">
      <w:pPr>
        <w:pStyle w:val="ListParagraph"/>
        <w:tabs>
          <w:tab w:val="left" w:pos="1540"/>
        </w:tabs>
        <w:ind w:left="1539" w:firstLine="0"/>
        <w:rPr>
          <w:rFonts w:ascii="Times New Roman" w:hAnsi="Times New Roman" w:cs="Times New Roman"/>
          <w:sz w:val="24"/>
          <w:szCs w:val="24"/>
        </w:rPr>
      </w:pPr>
    </w:p>
    <w:tbl>
      <w:tblPr>
        <w:tblStyle w:val="TableGrid"/>
        <w:tblW w:w="0" w:type="auto"/>
        <w:tblInd w:w="1539" w:type="dxa"/>
        <w:tblLook w:val="04A0" w:firstRow="1" w:lastRow="0" w:firstColumn="1" w:lastColumn="0" w:noHBand="0" w:noVBand="1"/>
      </w:tblPr>
      <w:tblGrid>
        <w:gridCol w:w="3915"/>
        <w:gridCol w:w="3786"/>
      </w:tblGrid>
      <w:tr w:rsidR="00D45288" w14:paraId="0B2B64A3" w14:textId="77777777" w:rsidTr="00FC1692">
        <w:tc>
          <w:tcPr>
            <w:tcW w:w="3915" w:type="dxa"/>
          </w:tcPr>
          <w:p w14:paraId="3B89A764" w14:textId="64FE17B9" w:rsidR="00D45288" w:rsidRDefault="00D45288" w:rsidP="00D45288">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CP as a % of Total public funds</w:t>
            </w:r>
          </w:p>
        </w:tc>
        <w:tc>
          <w:tcPr>
            <w:tcW w:w="3786" w:type="dxa"/>
          </w:tcPr>
          <w:p w14:paraId="2AE76C1D" w14:textId="7BF9EE6A" w:rsidR="00D45288" w:rsidRDefault="001E3F5E" w:rsidP="00D45288">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0.00%</w:t>
            </w:r>
          </w:p>
        </w:tc>
      </w:tr>
      <w:tr w:rsidR="00BF5762" w14:paraId="48A0A91E" w14:textId="77777777" w:rsidTr="00FC1692">
        <w:tc>
          <w:tcPr>
            <w:tcW w:w="3915" w:type="dxa"/>
          </w:tcPr>
          <w:p w14:paraId="1AC07B5D" w14:textId="231B08C9" w:rsidR="00BF5762" w:rsidRDefault="00BF5762" w:rsidP="00BF5762">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CP as a % of Total Liabilities</w:t>
            </w:r>
          </w:p>
        </w:tc>
        <w:tc>
          <w:tcPr>
            <w:tcW w:w="3786" w:type="dxa"/>
            <w:vAlign w:val="center"/>
          </w:tcPr>
          <w:p w14:paraId="65495076" w14:textId="2E828F34" w:rsidR="00BF5762" w:rsidRDefault="00BF5762" w:rsidP="00BF5762">
            <w:pPr>
              <w:pStyle w:val="ListParagraph"/>
              <w:tabs>
                <w:tab w:val="left" w:pos="1540"/>
              </w:tabs>
              <w:ind w:left="0" w:firstLine="0"/>
              <w:rPr>
                <w:rFonts w:ascii="Times New Roman" w:hAnsi="Times New Roman" w:cs="Times New Roman"/>
                <w:sz w:val="24"/>
                <w:szCs w:val="24"/>
              </w:rPr>
            </w:pPr>
            <w:r>
              <w:rPr>
                <w:color w:val="000000"/>
              </w:rPr>
              <w:t>0.00%</w:t>
            </w:r>
          </w:p>
        </w:tc>
      </w:tr>
      <w:tr w:rsidR="00BF5762" w14:paraId="64153B8A" w14:textId="77777777" w:rsidTr="00FC1692">
        <w:tc>
          <w:tcPr>
            <w:tcW w:w="3915" w:type="dxa"/>
          </w:tcPr>
          <w:p w14:paraId="5684AD1A" w14:textId="35482F18" w:rsidR="00BF5762" w:rsidRDefault="00BF5762" w:rsidP="00BF5762">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CP as a % of Total Assets</w:t>
            </w:r>
          </w:p>
        </w:tc>
        <w:tc>
          <w:tcPr>
            <w:tcW w:w="3786" w:type="dxa"/>
            <w:vAlign w:val="center"/>
          </w:tcPr>
          <w:p w14:paraId="3AF1AA0B" w14:textId="1B71AE78" w:rsidR="00BF5762" w:rsidRDefault="00BF5762" w:rsidP="00BF5762">
            <w:pPr>
              <w:pStyle w:val="ListParagraph"/>
              <w:tabs>
                <w:tab w:val="left" w:pos="1540"/>
              </w:tabs>
              <w:ind w:left="0" w:firstLine="0"/>
              <w:rPr>
                <w:rFonts w:ascii="Times New Roman" w:hAnsi="Times New Roman" w:cs="Times New Roman"/>
                <w:sz w:val="24"/>
                <w:szCs w:val="24"/>
              </w:rPr>
            </w:pPr>
            <w:r>
              <w:rPr>
                <w:color w:val="000000"/>
              </w:rPr>
              <w:t>0.00%</w:t>
            </w:r>
          </w:p>
        </w:tc>
      </w:tr>
    </w:tbl>
    <w:p w14:paraId="47F6896B" w14:textId="77777777" w:rsidR="00D45288" w:rsidRPr="00C76CAB" w:rsidRDefault="00D45288" w:rsidP="00D45288">
      <w:pPr>
        <w:pStyle w:val="ListParagraph"/>
        <w:tabs>
          <w:tab w:val="left" w:pos="1540"/>
        </w:tabs>
        <w:ind w:left="1539" w:firstLine="0"/>
        <w:rPr>
          <w:rFonts w:ascii="Times New Roman" w:hAnsi="Times New Roman" w:cs="Times New Roman"/>
          <w:sz w:val="24"/>
          <w:szCs w:val="24"/>
        </w:rPr>
      </w:pPr>
    </w:p>
    <w:p w14:paraId="05479D26" w14:textId="5AAED4B7" w:rsidR="00596804" w:rsidRDefault="00022433">
      <w:pPr>
        <w:pStyle w:val="ListParagraph"/>
        <w:numPr>
          <w:ilvl w:val="1"/>
          <w:numId w:val="1"/>
        </w:numPr>
        <w:tabs>
          <w:tab w:val="left" w:pos="1540"/>
        </w:tabs>
        <w:spacing w:before="159" w:line="276" w:lineRule="auto"/>
        <w:ind w:right="119"/>
        <w:rPr>
          <w:rFonts w:ascii="Times New Roman" w:hAnsi="Times New Roman" w:cs="Times New Roman"/>
          <w:sz w:val="24"/>
          <w:szCs w:val="24"/>
        </w:rPr>
      </w:pPr>
      <w:r w:rsidRPr="00C76CAB">
        <w:rPr>
          <w:rFonts w:ascii="Times New Roman" w:hAnsi="Times New Roman" w:cs="Times New Roman"/>
          <w:sz w:val="24"/>
          <w:szCs w:val="24"/>
        </w:rPr>
        <w:t>Non-convertible debentures (original maturity of less than one year) as a % of total public funds, total liabilities and total</w:t>
      </w:r>
      <w:r w:rsidRPr="00C76CAB">
        <w:rPr>
          <w:rFonts w:ascii="Times New Roman" w:hAnsi="Times New Roman" w:cs="Times New Roman"/>
          <w:spacing w:val="-3"/>
          <w:sz w:val="24"/>
          <w:szCs w:val="24"/>
        </w:rPr>
        <w:t xml:space="preserve"> </w:t>
      </w:r>
      <w:r w:rsidRPr="00C76CAB">
        <w:rPr>
          <w:rFonts w:ascii="Times New Roman" w:hAnsi="Times New Roman" w:cs="Times New Roman"/>
          <w:sz w:val="24"/>
          <w:szCs w:val="24"/>
        </w:rPr>
        <w:t xml:space="preserve">assets </w:t>
      </w:r>
      <w:r w:rsidR="008C7B26">
        <w:rPr>
          <w:rFonts w:ascii="Times New Roman" w:hAnsi="Times New Roman" w:cs="Times New Roman"/>
          <w:sz w:val="24"/>
          <w:szCs w:val="24"/>
        </w:rPr>
        <w:t>–</w:t>
      </w:r>
      <w:r w:rsidRPr="00C76CAB">
        <w:rPr>
          <w:rFonts w:ascii="Times New Roman" w:hAnsi="Times New Roman" w:cs="Times New Roman"/>
          <w:sz w:val="24"/>
          <w:szCs w:val="24"/>
        </w:rPr>
        <w:t xml:space="preserve"> N</w:t>
      </w:r>
      <w:r w:rsidR="008C7B26">
        <w:rPr>
          <w:rFonts w:ascii="Times New Roman" w:hAnsi="Times New Roman" w:cs="Times New Roman"/>
          <w:sz w:val="24"/>
          <w:szCs w:val="24"/>
        </w:rPr>
        <w:t>ot applicable</w:t>
      </w:r>
    </w:p>
    <w:p w14:paraId="00234AC6" w14:textId="2BFA921D" w:rsidR="00986A82" w:rsidRDefault="00986A82" w:rsidP="00986A82">
      <w:pPr>
        <w:tabs>
          <w:tab w:val="left" w:pos="1540"/>
        </w:tabs>
        <w:spacing w:before="159" w:line="276" w:lineRule="auto"/>
        <w:ind w:right="119"/>
        <w:rPr>
          <w:rFonts w:ascii="Times New Roman" w:hAnsi="Times New Roman" w:cs="Times New Roman"/>
          <w:sz w:val="24"/>
          <w:szCs w:val="24"/>
        </w:rPr>
      </w:pPr>
    </w:p>
    <w:p w14:paraId="46C42885" w14:textId="6E5342D1" w:rsidR="00986A82" w:rsidRDefault="00986A82" w:rsidP="00986A82">
      <w:pPr>
        <w:tabs>
          <w:tab w:val="left" w:pos="1540"/>
        </w:tabs>
        <w:spacing w:before="159" w:line="276" w:lineRule="auto"/>
        <w:ind w:right="119"/>
        <w:rPr>
          <w:rFonts w:ascii="Times New Roman" w:hAnsi="Times New Roman" w:cs="Times New Roman"/>
          <w:sz w:val="24"/>
          <w:szCs w:val="24"/>
        </w:rPr>
      </w:pPr>
    </w:p>
    <w:p w14:paraId="0B37373A" w14:textId="604E63BE" w:rsidR="00986A82" w:rsidRDefault="00986A82" w:rsidP="00986A82">
      <w:pPr>
        <w:tabs>
          <w:tab w:val="left" w:pos="1540"/>
        </w:tabs>
        <w:spacing w:before="159" w:line="276" w:lineRule="auto"/>
        <w:ind w:right="119"/>
        <w:rPr>
          <w:rFonts w:ascii="Times New Roman" w:hAnsi="Times New Roman" w:cs="Times New Roman"/>
          <w:sz w:val="24"/>
          <w:szCs w:val="24"/>
        </w:rPr>
      </w:pPr>
    </w:p>
    <w:p w14:paraId="3A55484A" w14:textId="77777777" w:rsidR="00986A82" w:rsidRPr="00986A82" w:rsidRDefault="00986A82" w:rsidP="00986A82">
      <w:pPr>
        <w:tabs>
          <w:tab w:val="left" w:pos="1540"/>
        </w:tabs>
        <w:spacing w:before="159" w:line="276" w:lineRule="auto"/>
        <w:ind w:right="119"/>
        <w:rPr>
          <w:rFonts w:ascii="Times New Roman" w:hAnsi="Times New Roman" w:cs="Times New Roman"/>
          <w:sz w:val="24"/>
          <w:szCs w:val="24"/>
        </w:rPr>
      </w:pPr>
    </w:p>
    <w:p w14:paraId="2764776C" w14:textId="53F8BDE9" w:rsidR="00596804" w:rsidRDefault="00022433">
      <w:pPr>
        <w:pStyle w:val="ListParagraph"/>
        <w:numPr>
          <w:ilvl w:val="1"/>
          <w:numId w:val="1"/>
        </w:numPr>
        <w:tabs>
          <w:tab w:val="left" w:pos="1540"/>
        </w:tabs>
        <w:spacing w:before="120" w:line="276" w:lineRule="auto"/>
        <w:ind w:right="119"/>
        <w:rPr>
          <w:rFonts w:ascii="Times New Roman" w:hAnsi="Times New Roman" w:cs="Times New Roman"/>
          <w:sz w:val="24"/>
          <w:szCs w:val="24"/>
        </w:rPr>
      </w:pPr>
      <w:r w:rsidRPr="00C76CAB">
        <w:rPr>
          <w:rFonts w:ascii="Times New Roman" w:hAnsi="Times New Roman" w:cs="Times New Roman"/>
          <w:sz w:val="24"/>
          <w:szCs w:val="24"/>
        </w:rPr>
        <w:t>Other</w:t>
      </w:r>
      <w:r w:rsidRPr="00C76CAB">
        <w:rPr>
          <w:rFonts w:ascii="Times New Roman" w:hAnsi="Times New Roman" w:cs="Times New Roman"/>
          <w:spacing w:val="-11"/>
          <w:sz w:val="24"/>
          <w:szCs w:val="24"/>
        </w:rPr>
        <w:t xml:space="preserve"> </w:t>
      </w:r>
      <w:r w:rsidRPr="00C76CAB">
        <w:rPr>
          <w:rFonts w:ascii="Times New Roman" w:hAnsi="Times New Roman" w:cs="Times New Roman"/>
          <w:sz w:val="24"/>
          <w:szCs w:val="24"/>
        </w:rPr>
        <w:t>short-term</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liabilities,</w:t>
      </w:r>
      <w:r w:rsidRPr="00C76CAB">
        <w:rPr>
          <w:rFonts w:ascii="Times New Roman" w:hAnsi="Times New Roman" w:cs="Times New Roman"/>
          <w:spacing w:val="-11"/>
          <w:sz w:val="24"/>
          <w:szCs w:val="24"/>
        </w:rPr>
        <w:t xml:space="preserve"> </w:t>
      </w:r>
      <w:r w:rsidRPr="00C76CAB">
        <w:rPr>
          <w:rFonts w:ascii="Times New Roman" w:hAnsi="Times New Roman" w:cs="Times New Roman"/>
          <w:sz w:val="24"/>
          <w:szCs w:val="24"/>
        </w:rPr>
        <w:t>if</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any</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as</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a</w:t>
      </w:r>
      <w:r w:rsidRPr="00C76CAB">
        <w:rPr>
          <w:rFonts w:ascii="Times New Roman" w:hAnsi="Times New Roman" w:cs="Times New Roman"/>
          <w:spacing w:val="-11"/>
          <w:sz w:val="24"/>
          <w:szCs w:val="24"/>
        </w:rPr>
        <w:t xml:space="preserve"> </w:t>
      </w:r>
      <w:r w:rsidRPr="00C76CAB">
        <w:rPr>
          <w:rFonts w:ascii="Times New Roman" w:hAnsi="Times New Roman" w:cs="Times New Roman"/>
          <w:sz w:val="24"/>
          <w:szCs w:val="24"/>
        </w:rPr>
        <w:t>%</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of</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total</w:t>
      </w:r>
      <w:r w:rsidRPr="00C76CAB">
        <w:rPr>
          <w:rFonts w:ascii="Times New Roman" w:hAnsi="Times New Roman" w:cs="Times New Roman"/>
          <w:spacing w:val="-9"/>
          <w:sz w:val="24"/>
          <w:szCs w:val="24"/>
        </w:rPr>
        <w:t xml:space="preserve"> </w:t>
      </w:r>
      <w:r w:rsidRPr="00C76CAB">
        <w:rPr>
          <w:rFonts w:ascii="Times New Roman" w:hAnsi="Times New Roman" w:cs="Times New Roman"/>
          <w:sz w:val="24"/>
          <w:szCs w:val="24"/>
        </w:rPr>
        <w:t>public</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funds,</w:t>
      </w:r>
      <w:r w:rsidRPr="00C76CAB">
        <w:rPr>
          <w:rFonts w:ascii="Times New Roman" w:hAnsi="Times New Roman" w:cs="Times New Roman"/>
          <w:spacing w:val="-9"/>
          <w:sz w:val="24"/>
          <w:szCs w:val="24"/>
        </w:rPr>
        <w:t xml:space="preserve"> </w:t>
      </w:r>
      <w:r w:rsidRPr="00C76CAB">
        <w:rPr>
          <w:rFonts w:ascii="Times New Roman" w:hAnsi="Times New Roman" w:cs="Times New Roman"/>
          <w:sz w:val="24"/>
          <w:szCs w:val="24"/>
        </w:rPr>
        <w:t>total</w:t>
      </w:r>
      <w:r w:rsidRPr="00C76CAB">
        <w:rPr>
          <w:rFonts w:ascii="Times New Roman" w:hAnsi="Times New Roman" w:cs="Times New Roman"/>
          <w:spacing w:val="-10"/>
          <w:sz w:val="24"/>
          <w:szCs w:val="24"/>
        </w:rPr>
        <w:t xml:space="preserve"> </w:t>
      </w:r>
      <w:r w:rsidRPr="00C76CAB">
        <w:rPr>
          <w:rFonts w:ascii="Times New Roman" w:hAnsi="Times New Roman" w:cs="Times New Roman"/>
          <w:sz w:val="24"/>
          <w:szCs w:val="24"/>
        </w:rPr>
        <w:t>liabilities</w:t>
      </w:r>
      <w:r w:rsidRPr="00C76CAB">
        <w:rPr>
          <w:rFonts w:ascii="Times New Roman" w:hAnsi="Times New Roman" w:cs="Times New Roman"/>
          <w:spacing w:val="-9"/>
          <w:sz w:val="24"/>
          <w:szCs w:val="24"/>
        </w:rPr>
        <w:t xml:space="preserve"> </w:t>
      </w:r>
      <w:r w:rsidRPr="00C76CAB">
        <w:rPr>
          <w:rFonts w:ascii="Times New Roman" w:hAnsi="Times New Roman" w:cs="Times New Roman"/>
          <w:sz w:val="24"/>
          <w:szCs w:val="24"/>
        </w:rPr>
        <w:t>and total</w:t>
      </w:r>
      <w:r w:rsidRPr="00C76CAB">
        <w:rPr>
          <w:rFonts w:ascii="Times New Roman" w:hAnsi="Times New Roman" w:cs="Times New Roman"/>
          <w:spacing w:val="-1"/>
          <w:sz w:val="24"/>
          <w:szCs w:val="24"/>
        </w:rPr>
        <w:t xml:space="preserve"> </w:t>
      </w:r>
      <w:r w:rsidRPr="00C76CAB">
        <w:rPr>
          <w:rFonts w:ascii="Times New Roman" w:hAnsi="Times New Roman" w:cs="Times New Roman"/>
          <w:sz w:val="24"/>
          <w:szCs w:val="24"/>
        </w:rPr>
        <w:t xml:space="preserve">assets </w:t>
      </w:r>
      <w:r w:rsidR="008C7B26">
        <w:rPr>
          <w:rFonts w:ascii="Times New Roman" w:hAnsi="Times New Roman" w:cs="Times New Roman"/>
          <w:sz w:val="24"/>
          <w:szCs w:val="24"/>
        </w:rPr>
        <w:t>–</w:t>
      </w:r>
    </w:p>
    <w:p w14:paraId="3E6ED0A2" w14:textId="77777777" w:rsidR="008C7B26" w:rsidRDefault="008C7B26" w:rsidP="008C7B26">
      <w:pPr>
        <w:pStyle w:val="ListParagraph"/>
        <w:tabs>
          <w:tab w:val="left" w:pos="1540"/>
        </w:tabs>
        <w:spacing w:before="120" w:line="276" w:lineRule="auto"/>
        <w:ind w:left="1539" w:right="119" w:firstLine="0"/>
        <w:rPr>
          <w:rFonts w:ascii="Times New Roman" w:hAnsi="Times New Roman" w:cs="Times New Roman"/>
          <w:sz w:val="24"/>
          <w:szCs w:val="24"/>
        </w:rPr>
      </w:pPr>
    </w:p>
    <w:tbl>
      <w:tblPr>
        <w:tblStyle w:val="TableGrid"/>
        <w:tblW w:w="0" w:type="auto"/>
        <w:tblInd w:w="1539" w:type="dxa"/>
        <w:tblLook w:val="04A0" w:firstRow="1" w:lastRow="0" w:firstColumn="1" w:lastColumn="0" w:noHBand="0" w:noVBand="1"/>
      </w:tblPr>
      <w:tblGrid>
        <w:gridCol w:w="5686"/>
        <w:gridCol w:w="2015"/>
      </w:tblGrid>
      <w:tr w:rsidR="001E3F5E" w14:paraId="2BAE4D7C" w14:textId="77777777" w:rsidTr="0037389D">
        <w:tc>
          <w:tcPr>
            <w:tcW w:w="5686" w:type="dxa"/>
          </w:tcPr>
          <w:p w14:paraId="301B7D86" w14:textId="4962243D" w:rsidR="001E3F5E" w:rsidRDefault="001E3F5E" w:rsidP="001E3F5E">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 xml:space="preserve">Other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liabilities as a % of Total public funds</w:t>
            </w:r>
          </w:p>
        </w:tc>
        <w:tc>
          <w:tcPr>
            <w:tcW w:w="2015" w:type="dxa"/>
            <w:vAlign w:val="center"/>
          </w:tcPr>
          <w:p w14:paraId="29AB4CCE" w14:textId="08A0FCE7" w:rsidR="001E3F5E" w:rsidRDefault="001E3F5E" w:rsidP="001E3F5E">
            <w:pPr>
              <w:pStyle w:val="ListParagraph"/>
              <w:tabs>
                <w:tab w:val="left" w:pos="1540"/>
              </w:tabs>
              <w:ind w:left="0" w:firstLine="0"/>
              <w:rPr>
                <w:rFonts w:ascii="Times New Roman" w:hAnsi="Times New Roman" w:cs="Times New Roman"/>
                <w:sz w:val="24"/>
                <w:szCs w:val="24"/>
              </w:rPr>
            </w:pPr>
            <w:r>
              <w:rPr>
                <w:color w:val="000000"/>
              </w:rPr>
              <w:t>59.16%</w:t>
            </w:r>
          </w:p>
        </w:tc>
      </w:tr>
      <w:tr w:rsidR="001E3F5E" w14:paraId="0CB4F784" w14:textId="77777777" w:rsidTr="00082D47">
        <w:tc>
          <w:tcPr>
            <w:tcW w:w="5686" w:type="dxa"/>
          </w:tcPr>
          <w:p w14:paraId="58DF4EEF" w14:textId="068F3A02" w:rsidR="001E3F5E" w:rsidRDefault="001E3F5E" w:rsidP="001E3F5E">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 xml:space="preserve">Other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liabilities as a % of Total Liabilities</w:t>
            </w:r>
          </w:p>
        </w:tc>
        <w:tc>
          <w:tcPr>
            <w:tcW w:w="2015" w:type="dxa"/>
            <w:vAlign w:val="center"/>
          </w:tcPr>
          <w:p w14:paraId="09E40C35" w14:textId="28C3BAD6" w:rsidR="001E3F5E" w:rsidRDefault="001E3F5E" w:rsidP="001E3F5E">
            <w:pPr>
              <w:pStyle w:val="ListParagraph"/>
              <w:tabs>
                <w:tab w:val="left" w:pos="1540"/>
              </w:tabs>
              <w:ind w:left="0" w:firstLine="0"/>
              <w:rPr>
                <w:rFonts w:ascii="Times New Roman" w:hAnsi="Times New Roman" w:cs="Times New Roman"/>
                <w:sz w:val="24"/>
                <w:szCs w:val="24"/>
              </w:rPr>
            </w:pPr>
            <w:r>
              <w:rPr>
                <w:color w:val="000000"/>
              </w:rPr>
              <w:t>57.34%</w:t>
            </w:r>
          </w:p>
        </w:tc>
      </w:tr>
      <w:tr w:rsidR="001E3F5E" w14:paraId="46BECE50" w14:textId="77777777" w:rsidTr="00082D47">
        <w:tc>
          <w:tcPr>
            <w:tcW w:w="5686" w:type="dxa"/>
          </w:tcPr>
          <w:p w14:paraId="15884784" w14:textId="7BB5882E" w:rsidR="001E3F5E" w:rsidRDefault="001E3F5E" w:rsidP="001E3F5E">
            <w:pPr>
              <w:pStyle w:val="ListParagraph"/>
              <w:tabs>
                <w:tab w:val="left" w:pos="1540"/>
              </w:tabs>
              <w:ind w:left="0" w:firstLine="0"/>
              <w:rPr>
                <w:rFonts w:ascii="Times New Roman" w:hAnsi="Times New Roman" w:cs="Times New Roman"/>
                <w:sz w:val="24"/>
                <w:szCs w:val="24"/>
              </w:rPr>
            </w:pPr>
            <w:r>
              <w:rPr>
                <w:rFonts w:ascii="Times New Roman" w:hAnsi="Times New Roman" w:cs="Times New Roman"/>
                <w:sz w:val="24"/>
                <w:szCs w:val="24"/>
              </w:rPr>
              <w:t xml:space="preserve">Other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liabilities as a % of Total Assets</w:t>
            </w:r>
          </w:p>
        </w:tc>
        <w:tc>
          <w:tcPr>
            <w:tcW w:w="2015" w:type="dxa"/>
            <w:vAlign w:val="center"/>
          </w:tcPr>
          <w:p w14:paraId="282C4E26" w14:textId="69591CB6" w:rsidR="001E3F5E" w:rsidRDefault="001E3F5E" w:rsidP="001E3F5E">
            <w:pPr>
              <w:pStyle w:val="ListParagraph"/>
              <w:tabs>
                <w:tab w:val="left" w:pos="1540"/>
              </w:tabs>
              <w:ind w:left="0" w:firstLine="0"/>
              <w:rPr>
                <w:rFonts w:ascii="Times New Roman" w:hAnsi="Times New Roman" w:cs="Times New Roman"/>
                <w:sz w:val="24"/>
                <w:szCs w:val="24"/>
              </w:rPr>
            </w:pPr>
            <w:r>
              <w:rPr>
                <w:color w:val="000000"/>
              </w:rPr>
              <w:t>42.49%</w:t>
            </w:r>
          </w:p>
        </w:tc>
      </w:tr>
    </w:tbl>
    <w:p w14:paraId="1E0B41C8" w14:textId="77777777" w:rsidR="008C7B26" w:rsidRPr="00C76CAB" w:rsidRDefault="008C7B26" w:rsidP="008C7B26">
      <w:pPr>
        <w:pStyle w:val="ListParagraph"/>
        <w:tabs>
          <w:tab w:val="left" w:pos="1540"/>
        </w:tabs>
        <w:spacing w:before="120" w:line="276" w:lineRule="auto"/>
        <w:ind w:left="1180" w:right="119" w:firstLine="0"/>
        <w:rPr>
          <w:rFonts w:ascii="Times New Roman" w:hAnsi="Times New Roman" w:cs="Times New Roman"/>
          <w:sz w:val="24"/>
          <w:szCs w:val="24"/>
        </w:rPr>
      </w:pPr>
    </w:p>
    <w:p w14:paraId="1C94AC8C" w14:textId="77777777" w:rsidR="00C76CAB" w:rsidRPr="00322DCF" w:rsidRDefault="00022433" w:rsidP="00C76CAB">
      <w:pPr>
        <w:pStyle w:val="ListParagraph"/>
        <w:numPr>
          <w:ilvl w:val="0"/>
          <w:numId w:val="1"/>
        </w:numPr>
        <w:tabs>
          <w:tab w:val="left" w:pos="1178"/>
          <w:tab w:val="left" w:pos="1179"/>
        </w:tabs>
        <w:spacing w:before="119"/>
        <w:ind w:left="1178" w:hanging="720"/>
        <w:jc w:val="both"/>
        <w:rPr>
          <w:rFonts w:ascii="Times New Roman" w:hAnsi="Times New Roman" w:cs="Times New Roman"/>
          <w:sz w:val="24"/>
          <w:szCs w:val="24"/>
        </w:rPr>
      </w:pPr>
      <w:r w:rsidRPr="00C76CAB">
        <w:rPr>
          <w:rFonts w:ascii="Times New Roman" w:hAnsi="Times New Roman" w:cs="Times New Roman"/>
          <w:sz w:val="24"/>
          <w:szCs w:val="24"/>
        </w:rPr>
        <w:t>Institutional set-up for liquidity risk</w:t>
      </w:r>
      <w:r w:rsidRPr="00C76CAB">
        <w:rPr>
          <w:rFonts w:ascii="Times New Roman" w:hAnsi="Times New Roman" w:cs="Times New Roman"/>
          <w:spacing w:val="-3"/>
          <w:sz w:val="24"/>
          <w:szCs w:val="24"/>
        </w:rPr>
        <w:t xml:space="preserve"> </w:t>
      </w:r>
      <w:r w:rsidRPr="00C76CAB">
        <w:rPr>
          <w:rFonts w:ascii="Times New Roman" w:hAnsi="Times New Roman" w:cs="Times New Roman"/>
          <w:sz w:val="24"/>
          <w:szCs w:val="24"/>
        </w:rPr>
        <w:t>management</w:t>
      </w:r>
      <w:r w:rsidR="00C76CAB">
        <w:rPr>
          <w:rFonts w:ascii="Times New Roman" w:hAnsi="Times New Roman" w:cs="Times New Roman"/>
          <w:sz w:val="24"/>
          <w:szCs w:val="24"/>
        </w:rPr>
        <w:t xml:space="preserve">: </w:t>
      </w:r>
      <w:r w:rsidR="00C76CAB" w:rsidRPr="00322DCF">
        <w:rPr>
          <w:rFonts w:ascii="Times New Roman" w:hAnsi="Times New Roman" w:cs="Times New Roman"/>
          <w:sz w:val="24"/>
          <w:szCs w:val="24"/>
        </w:rPr>
        <w:t xml:space="preserve">The Board has the overall responsibility for management of liquidity risk. The Company has a Risk management Committee responsible for evaluating the overall risks faced by the Company including liquidity risk. The Asset Liability Management Committee is also responsible for ensuring adherence to the risk tolerance and implementing the liquidity risk management strategy. </w:t>
      </w:r>
    </w:p>
    <w:p w14:paraId="5446420D" w14:textId="0EAC3C52" w:rsidR="00596804" w:rsidRPr="00C76CAB" w:rsidRDefault="00596804" w:rsidP="00C76CAB">
      <w:pPr>
        <w:pStyle w:val="ListParagraph"/>
        <w:tabs>
          <w:tab w:val="left" w:pos="1178"/>
          <w:tab w:val="left" w:pos="1179"/>
        </w:tabs>
        <w:spacing w:before="119"/>
        <w:ind w:left="1178" w:firstLine="0"/>
        <w:rPr>
          <w:rFonts w:ascii="Times New Roman" w:hAnsi="Times New Roman" w:cs="Times New Roman"/>
          <w:sz w:val="24"/>
          <w:szCs w:val="24"/>
        </w:rPr>
      </w:pPr>
    </w:p>
    <w:p w14:paraId="2660C211" w14:textId="77777777" w:rsidR="00596804" w:rsidRPr="00C76CAB" w:rsidRDefault="00596804">
      <w:pPr>
        <w:pStyle w:val="BodyText"/>
        <w:rPr>
          <w:rFonts w:ascii="Times New Roman" w:hAnsi="Times New Roman" w:cs="Times New Roman"/>
          <w:sz w:val="24"/>
          <w:szCs w:val="24"/>
        </w:rPr>
      </w:pPr>
    </w:p>
    <w:p w14:paraId="131835A3" w14:textId="00C68B09" w:rsidR="00596804" w:rsidRDefault="00596804" w:rsidP="00C76CAB">
      <w:pPr>
        <w:pStyle w:val="BodyText"/>
        <w:ind w:right="19"/>
        <w:rPr>
          <w:rFonts w:ascii="Calibri"/>
        </w:rPr>
      </w:pPr>
    </w:p>
    <w:sectPr w:rsidR="00596804" w:rsidSect="000B3C83">
      <w:headerReference w:type="default" r:id="rId7"/>
      <w:type w:val="continuous"/>
      <w:pgSz w:w="11910" w:h="16840"/>
      <w:pgMar w:top="1340" w:right="132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BF1E" w14:textId="77777777" w:rsidR="00211E2D" w:rsidRDefault="00211E2D" w:rsidP="00C76CAB">
      <w:r>
        <w:separator/>
      </w:r>
    </w:p>
  </w:endnote>
  <w:endnote w:type="continuationSeparator" w:id="0">
    <w:p w14:paraId="31F21CDA" w14:textId="77777777" w:rsidR="00211E2D" w:rsidRDefault="00211E2D" w:rsidP="00C7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6B491" w14:textId="77777777" w:rsidR="00211E2D" w:rsidRDefault="00211E2D" w:rsidP="00C76CAB">
      <w:r>
        <w:separator/>
      </w:r>
    </w:p>
  </w:footnote>
  <w:footnote w:type="continuationSeparator" w:id="0">
    <w:p w14:paraId="3CF141B8" w14:textId="77777777" w:rsidR="00211E2D" w:rsidRDefault="00211E2D" w:rsidP="00C7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D8B9" w14:textId="07AB3EC7" w:rsidR="00C76CAB" w:rsidRDefault="00C76CAB">
    <w:pPr>
      <w:pStyle w:val="Header"/>
    </w:pPr>
    <w:r w:rsidRPr="00455201">
      <w:rPr>
        <w:rFonts w:ascii="Times New Roman" w:hAnsi="Times New Roman" w:cs="Times New Roman"/>
        <w:b/>
        <w:noProof/>
        <w:sz w:val="24"/>
        <w:szCs w:val="24"/>
        <w:lang w:bidi="ml-IN"/>
      </w:rPr>
      <w:drawing>
        <wp:anchor distT="0" distB="0" distL="114300" distR="114300" simplePos="0" relativeHeight="251659264" behindDoc="0" locked="0" layoutInCell="1" allowOverlap="1" wp14:anchorId="4F940F4A" wp14:editId="398D6773">
          <wp:simplePos x="0" y="0"/>
          <wp:positionH relativeFrom="column">
            <wp:posOffset>-381000</wp:posOffset>
          </wp:positionH>
          <wp:positionV relativeFrom="paragraph">
            <wp:posOffset>-190500</wp:posOffset>
          </wp:positionV>
          <wp:extent cx="120015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ging Board-p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21639"/>
    <w:multiLevelType w:val="hybridMultilevel"/>
    <w:tmpl w:val="869C9548"/>
    <w:lvl w:ilvl="0" w:tplc="5DC01ACC">
      <w:start w:val="1"/>
      <w:numFmt w:val="lowerRoman"/>
      <w:lvlText w:val="(%1)"/>
      <w:lvlJc w:val="left"/>
      <w:pPr>
        <w:ind w:left="1180" w:hanging="721"/>
        <w:jc w:val="left"/>
      </w:pPr>
      <w:rPr>
        <w:rFonts w:ascii="Arial" w:eastAsia="Arial" w:hAnsi="Arial" w:cs="Arial" w:hint="default"/>
        <w:w w:val="99"/>
        <w:sz w:val="22"/>
        <w:szCs w:val="22"/>
        <w:lang w:val="en-US" w:eastAsia="en-US" w:bidi="en-US"/>
      </w:rPr>
    </w:lvl>
    <w:lvl w:ilvl="1" w:tplc="4776E114">
      <w:start w:val="1"/>
      <w:numFmt w:val="lowerLetter"/>
      <w:lvlText w:val="(%2)"/>
      <w:lvlJc w:val="left"/>
      <w:pPr>
        <w:ind w:left="1539" w:hanging="360"/>
        <w:jc w:val="left"/>
      </w:pPr>
      <w:rPr>
        <w:rFonts w:ascii="Arial" w:eastAsia="Arial" w:hAnsi="Arial" w:cs="Arial" w:hint="default"/>
        <w:w w:val="99"/>
        <w:sz w:val="22"/>
        <w:szCs w:val="22"/>
        <w:lang w:val="en-US" w:eastAsia="en-US" w:bidi="en-US"/>
      </w:rPr>
    </w:lvl>
    <w:lvl w:ilvl="2" w:tplc="7FE84948">
      <w:numFmt w:val="bullet"/>
      <w:lvlText w:val="•"/>
      <w:lvlJc w:val="left"/>
      <w:pPr>
        <w:ind w:left="2396" w:hanging="360"/>
      </w:pPr>
      <w:rPr>
        <w:rFonts w:hint="default"/>
        <w:lang w:val="en-US" w:eastAsia="en-US" w:bidi="en-US"/>
      </w:rPr>
    </w:lvl>
    <w:lvl w:ilvl="3" w:tplc="DCF2EDFE">
      <w:numFmt w:val="bullet"/>
      <w:lvlText w:val="•"/>
      <w:lvlJc w:val="left"/>
      <w:pPr>
        <w:ind w:left="3252" w:hanging="360"/>
      </w:pPr>
      <w:rPr>
        <w:rFonts w:hint="default"/>
        <w:lang w:val="en-US" w:eastAsia="en-US" w:bidi="en-US"/>
      </w:rPr>
    </w:lvl>
    <w:lvl w:ilvl="4" w:tplc="B456CA50">
      <w:numFmt w:val="bullet"/>
      <w:lvlText w:val="•"/>
      <w:lvlJc w:val="left"/>
      <w:pPr>
        <w:ind w:left="4108" w:hanging="360"/>
      </w:pPr>
      <w:rPr>
        <w:rFonts w:hint="default"/>
        <w:lang w:val="en-US" w:eastAsia="en-US" w:bidi="en-US"/>
      </w:rPr>
    </w:lvl>
    <w:lvl w:ilvl="5" w:tplc="0310F6C8">
      <w:numFmt w:val="bullet"/>
      <w:lvlText w:val="•"/>
      <w:lvlJc w:val="left"/>
      <w:pPr>
        <w:ind w:left="4965" w:hanging="360"/>
      </w:pPr>
      <w:rPr>
        <w:rFonts w:hint="default"/>
        <w:lang w:val="en-US" w:eastAsia="en-US" w:bidi="en-US"/>
      </w:rPr>
    </w:lvl>
    <w:lvl w:ilvl="6" w:tplc="F700644A">
      <w:numFmt w:val="bullet"/>
      <w:lvlText w:val="•"/>
      <w:lvlJc w:val="left"/>
      <w:pPr>
        <w:ind w:left="5821" w:hanging="360"/>
      </w:pPr>
      <w:rPr>
        <w:rFonts w:hint="default"/>
        <w:lang w:val="en-US" w:eastAsia="en-US" w:bidi="en-US"/>
      </w:rPr>
    </w:lvl>
    <w:lvl w:ilvl="7" w:tplc="E49845B6">
      <w:numFmt w:val="bullet"/>
      <w:lvlText w:val="•"/>
      <w:lvlJc w:val="left"/>
      <w:pPr>
        <w:ind w:left="6677" w:hanging="360"/>
      </w:pPr>
      <w:rPr>
        <w:rFonts w:hint="default"/>
        <w:lang w:val="en-US" w:eastAsia="en-US" w:bidi="en-US"/>
      </w:rPr>
    </w:lvl>
    <w:lvl w:ilvl="8" w:tplc="EBA820F0">
      <w:numFmt w:val="bullet"/>
      <w:lvlText w:val="•"/>
      <w:lvlJc w:val="left"/>
      <w:pPr>
        <w:ind w:left="7533" w:hanging="360"/>
      </w:pPr>
      <w:rPr>
        <w:rFonts w:hint="default"/>
        <w:lang w:val="en-US" w:eastAsia="en-US" w:bidi="en-US"/>
      </w:rPr>
    </w:lvl>
  </w:abstractNum>
  <w:num w:numId="1" w16cid:durableId="86227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04"/>
    <w:rsid w:val="00002B4B"/>
    <w:rsid w:val="00022433"/>
    <w:rsid w:val="000B3C83"/>
    <w:rsid w:val="0011228B"/>
    <w:rsid w:val="001455AA"/>
    <w:rsid w:val="00170371"/>
    <w:rsid w:val="001E3F5E"/>
    <w:rsid w:val="001E5928"/>
    <w:rsid w:val="001F70F0"/>
    <w:rsid w:val="00211E2D"/>
    <w:rsid w:val="00296B74"/>
    <w:rsid w:val="002A2767"/>
    <w:rsid w:val="002A7C99"/>
    <w:rsid w:val="002E2E9F"/>
    <w:rsid w:val="003853E0"/>
    <w:rsid w:val="0040782E"/>
    <w:rsid w:val="00416195"/>
    <w:rsid w:val="004176EC"/>
    <w:rsid w:val="004200F2"/>
    <w:rsid w:val="00457165"/>
    <w:rsid w:val="0055620B"/>
    <w:rsid w:val="00561466"/>
    <w:rsid w:val="00570B03"/>
    <w:rsid w:val="00572CF8"/>
    <w:rsid w:val="00596804"/>
    <w:rsid w:val="005E42F0"/>
    <w:rsid w:val="006144AA"/>
    <w:rsid w:val="00647B8D"/>
    <w:rsid w:val="00666F45"/>
    <w:rsid w:val="007040F7"/>
    <w:rsid w:val="00712712"/>
    <w:rsid w:val="00767DAB"/>
    <w:rsid w:val="007740D0"/>
    <w:rsid w:val="008B314A"/>
    <w:rsid w:val="008C7B26"/>
    <w:rsid w:val="009026E4"/>
    <w:rsid w:val="0092695A"/>
    <w:rsid w:val="0098536B"/>
    <w:rsid w:val="00986A82"/>
    <w:rsid w:val="009E0121"/>
    <w:rsid w:val="00A02DE6"/>
    <w:rsid w:val="00A21509"/>
    <w:rsid w:val="00A97098"/>
    <w:rsid w:val="00AA26EB"/>
    <w:rsid w:val="00BA500D"/>
    <w:rsid w:val="00BF5762"/>
    <w:rsid w:val="00C76CAB"/>
    <w:rsid w:val="00C80B22"/>
    <w:rsid w:val="00CA0C8E"/>
    <w:rsid w:val="00CF2791"/>
    <w:rsid w:val="00D30899"/>
    <w:rsid w:val="00D45288"/>
    <w:rsid w:val="00D61ED6"/>
    <w:rsid w:val="00D77900"/>
    <w:rsid w:val="00D82645"/>
    <w:rsid w:val="00D934D4"/>
    <w:rsid w:val="00DC4962"/>
    <w:rsid w:val="00DD3EA4"/>
    <w:rsid w:val="00DF50C4"/>
    <w:rsid w:val="00E767EA"/>
    <w:rsid w:val="00E847D8"/>
    <w:rsid w:val="00EC305A"/>
    <w:rsid w:val="00F06655"/>
    <w:rsid w:val="00F10225"/>
    <w:rsid w:val="00F219FE"/>
    <w:rsid w:val="00F672AE"/>
    <w:rsid w:val="00F859D1"/>
    <w:rsid w:val="00F96D1A"/>
    <w:rsid w:val="00FC1692"/>
    <w:rsid w:val="00FC43D1"/>
    <w:rsid w:val="00FF3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BBC6"/>
  <w15:docId w15:val="{5ED72794-6731-40D8-A2DF-171B0226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7"/>
      <w:ind w:left="117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CAB"/>
    <w:pPr>
      <w:tabs>
        <w:tab w:val="center" w:pos="4513"/>
        <w:tab w:val="right" w:pos="9026"/>
      </w:tabs>
    </w:pPr>
  </w:style>
  <w:style w:type="character" w:customStyle="1" w:styleId="HeaderChar">
    <w:name w:val="Header Char"/>
    <w:basedOn w:val="DefaultParagraphFont"/>
    <w:link w:val="Header"/>
    <w:uiPriority w:val="99"/>
    <w:rsid w:val="00C76CAB"/>
    <w:rPr>
      <w:rFonts w:ascii="Arial" w:eastAsia="Arial" w:hAnsi="Arial" w:cs="Arial"/>
      <w:lang w:bidi="en-US"/>
    </w:rPr>
  </w:style>
  <w:style w:type="paragraph" w:styleId="Footer">
    <w:name w:val="footer"/>
    <w:basedOn w:val="Normal"/>
    <w:link w:val="FooterChar"/>
    <w:uiPriority w:val="99"/>
    <w:unhideWhenUsed/>
    <w:rsid w:val="00C76CAB"/>
    <w:pPr>
      <w:tabs>
        <w:tab w:val="center" w:pos="4513"/>
        <w:tab w:val="right" w:pos="9026"/>
      </w:tabs>
    </w:pPr>
  </w:style>
  <w:style w:type="character" w:customStyle="1" w:styleId="FooterChar">
    <w:name w:val="Footer Char"/>
    <w:basedOn w:val="DefaultParagraphFont"/>
    <w:link w:val="Footer"/>
    <w:uiPriority w:val="99"/>
    <w:rsid w:val="00C76CAB"/>
    <w:rPr>
      <w:rFonts w:ascii="Arial" w:eastAsia="Arial" w:hAnsi="Arial" w:cs="Arial"/>
      <w:lang w:bidi="en-US"/>
    </w:rPr>
  </w:style>
  <w:style w:type="table" w:styleId="TableGrid">
    <w:name w:val="Table Grid"/>
    <w:basedOn w:val="TableNormal"/>
    <w:uiPriority w:val="39"/>
    <w:rsid w:val="00D4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0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Neethu</dc:creator>
  <cp:lastModifiedBy>Manju K</cp:lastModifiedBy>
  <cp:revision>35</cp:revision>
  <dcterms:created xsi:type="dcterms:W3CDTF">2020-06-10T05:46:00Z</dcterms:created>
  <dcterms:modified xsi:type="dcterms:W3CDTF">2025-02-11T08:28:00Z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19 for Word</vt:lpwstr>
  </property>
  <property fmtid="{D5CDD505-2E9C-101B-9397-08002B2CF9AE}" pid="4" name="LastSaved">
    <vt:filetime>2020-06-10T00:00:00Z</vt:filetime>
  </property>
</Properties>
</file>